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2F069" w14:textId="6D5F460B" w:rsidR="00403685" w:rsidRPr="008252E5" w:rsidRDefault="00BE73A4" w:rsidP="009D7816">
      <w:pPr>
        <w:pStyle w:val="Heading1"/>
      </w:pPr>
      <w:bookmarkStart w:id="0" w:name="_Hlk119339570"/>
      <w:r w:rsidRPr="008252E5">
        <w:t>Research Integrity Report 2022-23 – Lancaster University</w:t>
      </w:r>
    </w:p>
    <w:p w14:paraId="716016C1" w14:textId="77777777" w:rsidR="00F43A00" w:rsidRPr="008252E5" w:rsidRDefault="00F43A00" w:rsidP="009D7816">
      <w:pPr>
        <w:pStyle w:val="Heading2"/>
      </w:pPr>
      <w:bookmarkStart w:id="1" w:name="_Hlk119339757"/>
      <w:r w:rsidRPr="008252E5">
        <w:t>Section 1: Key contact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5359"/>
      </w:tblGrid>
      <w:tr w:rsidR="004F75A0" w:rsidRPr="008252E5" w14:paraId="7DF315DA" w14:textId="77777777" w:rsidTr="767359A8">
        <w:trPr>
          <w:trHeight w:val="684"/>
        </w:trPr>
        <w:tc>
          <w:tcPr>
            <w:tcW w:w="4134" w:type="dxa"/>
            <w:shd w:val="clear" w:color="auto" w:fill="auto"/>
            <w:vAlign w:val="center"/>
          </w:tcPr>
          <w:p w14:paraId="4A3339F7" w14:textId="77777777" w:rsidR="004F75A0" w:rsidRPr="008252E5" w:rsidRDefault="004F75A0" w:rsidP="000848B5">
            <w:pPr>
              <w:pStyle w:val="BodyText"/>
              <w:spacing w:before="240" w:after="360" w:line="240" w:lineRule="exact"/>
              <w:rPr>
                <w:b/>
                <w:bCs/>
              </w:rPr>
            </w:pPr>
            <w:r w:rsidRPr="008252E5">
              <w:rPr>
                <w:rStyle w:val="HighlightBold"/>
              </w:rPr>
              <w:t>1A. Name of organisation</w:t>
            </w:r>
          </w:p>
        </w:tc>
        <w:tc>
          <w:tcPr>
            <w:tcW w:w="5359" w:type="dxa"/>
            <w:shd w:val="clear" w:color="auto" w:fill="auto"/>
            <w:vAlign w:val="center"/>
          </w:tcPr>
          <w:p w14:paraId="2A43968B" w14:textId="0C4DE625" w:rsidR="004F75A0" w:rsidRPr="008252E5" w:rsidRDefault="00BE73A4" w:rsidP="000848B5">
            <w:pPr>
              <w:pStyle w:val="BodyText"/>
              <w:spacing w:before="240" w:after="360" w:line="240" w:lineRule="exact"/>
            </w:pPr>
            <w:r w:rsidRPr="008252E5">
              <w:t>Lancaster University</w:t>
            </w:r>
          </w:p>
        </w:tc>
      </w:tr>
      <w:tr w:rsidR="004F75A0" w:rsidRPr="008252E5" w14:paraId="28856BDD" w14:textId="77777777" w:rsidTr="767359A8">
        <w:trPr>
          <w:trHeight w:val="991"/>
        </w:trPr>
        <w:tc>
          <w:tcPr>
            <w:tcW w:w="4134" w:type="dxa"/>
            <w:shd w:val="clear" w:color="auto" w:fill="auto"/>
            <w:vAlign w:val="center"/>
          </w:tcPr>
          <w:p w14:paraId="719A57B6" w14:textId="77777777" w:rsidR="004F75A0" w:rsidRPr="008252E5" w:rsidRDefault="004F75A0" w:rsidP="000848B5">
            <w:pPr>
              <w:pStyle w:val="BodyText"/>
              <w:spacing w:before="240" w:after="360" w:line="240" w:lineRule="exact"/>
              <w:rPr>
                <w:rStyle w:val="HighlightBold"/>
              </w:rPr>
            </w:pPr>
            <w:r w:rsidRPr="008252E5">
              <w:rPr>
                <w:rStyle w:val="HighlightBold"/>
              </w:rPr>
              <w:t xml:space="preserve">1B. Type of organisation: </w:t>
            </w:r>
          </w:p>
          <w:p w14:paraId="4923C359" w14:textId="77777777" w:rsidR="004F75A0" w:rsidRPr="008252E5" w:rsidRDefault="004F75A0" w:rsidP="000848B5">
            <w:pPr>
              <w:pStyle w:val="BodyText"/>
              <w:spacing w:before="240" w:after="360" w:line="240" w:lineRule="exact"/>
              <w:rPr>
                <w:b/>
                <w:bCs/>
              </w:rPr>
            </w:pPr>
            <w:r w:rsidRPr="008252E5">
              <w:rPr>
                <w:rStyle w:val="HighlightBold"/>
              </w:rPr>
              <w:t>higher education institution/industry/independent research performing organisation/other (please state)</w:t>
            </w:r>
          </w:p>
        </w:tc>
        <w:tc>
          <w:tcPr>
            <w:tcW w:w="5359" w:type="dxa"/>
            <w:shd w:val="clear" w:color="auto" w:fill="auto"/>
            <w:vAlign w:val="center"/>
          </w:tcPr>
          <w:p w14:paraId="7C0A0C43" w14:textId="319F18CC" w:rsidR="004F75A0" w:rsidRPr="008252E5" w:rsidRDefault="00BE73A4" w:rsidP="000848B5">
            <w:pPr>
              <w:pStyle w:val="BodyText"/>
              <w:spacing w:before="240" w:after="360" w:line="240" w:lineRule="exact"/>
            </w:pPr>
            <w:r w:rsidRPr="008252E5">
              <w:t>Higher Education Institution</w:t>
            </w:r>
          </w:p>
        </w:tc>
      </w:tr>
      <w:tr w:rsidR="004F75A0" w:rsidRPr="008252E5" w14:paraId="282CE67F" w14:textId="77777777" w:rsidTr="767359A8">
        <w:trPr>
          <w:trHeight w:val="694"/>
        </w:trPr>
        <w:tc>
          <w:tcPr>
            <w:tcW w:w="4134" w:type="dxa"/>
            <w:shd w:val="clear" w:color="auto" w:fill="auto"/>
            <w:vAlign w:val="center"/>
          </w:tcPr>
          <w:p w14:paraId="2187CB23" w14:textId="77777777" w:rsidR="004F75A0" w:rsidRPr="008252E5" w:rsidRDefault="004F75A0" w:rsidP="000848B5">
            <w:pPr>
              <w:pStyle w:val="BodyText"/>
              <w:spacing w:before="240" w:after="360" w:line="240" w:lineRule="exact"/>
              <w:rPr>
                <w:b/>
                <w:bCs/>
              </w:rPr>
            </w:pPr>
            <w:r w:rsidRPr="008252E5">
              <w:rPr>
                <w:rStyle w:val="HighlightBold"/>
              </w:rPr>
              <w:t>1C. Date statement approved by governing body (DD/MM/YY)</w:t>
            </w:r>
          </w:p>
        </w:tc>
        <w:tc>
          <w:tcPr>
            <w:tcW w:w="5359" w:type="dxa"/>
            <w:shd w:val="clear" w:color="auto" w:fill="auto"/>
            <w:vAlign w:val="center"/>
          </w:tcPr>
          <w:p w14:paraId="7188CCFC" w14:textId="7EDE13DD" w:rsidR="004F75A0" w:rsidRPr="008252E5" w:rsidRDefault="00873C46" w:rsidP="000848B5">
            <w:pPr>
              <w:pStyle w:val="BodyText"/>
              <w:spacing w:before="240" w:after="360" w:line="240" w:lineRule="exact"/>
            </w:pPr>
            <w:r>
              <w:t>24.11.2023</w:t>
            </w:r>
          </w:p>
        </w:tc>
      </w:tr>
      <w:tr w:rsidR="004F75A0" w:rsidRPr="008252E5" w14:paraId="3036367E" w14:textId="77777777" w:rsidTr="767359A8">
        <w:trPr>
          <w:trHeight w:val="718"/>
        </w:trPr>
        <w:tc>
          <w:tcPr>
            <w:tcW w:w="4134" w:type="dxa"/>
            <w:shd w:val="clear" w:color="auto" w:fill="auto"/>
            <w:vAlign w:val="center"/>
          </w:tcPr>
          <w:p w14:paraId="5D934EDB" w14:textId="77777777" w:rsidR="004F75A0" w:rsidRPr="008252E5" w:rsidRDefault="004F75A0" w:rsidP="000848B5">
            <w:pPr>
              <w:pStyle w:val="BodyText"/>
              <w:spacing w:before="240" w:after="360" w:line="240" w:lineRule="exact"/>
              <w:rPr>
                <w:b/>
                <w:bCs/>
              </w:rPr>
            </w:pPr>
            <w:r w:rsidRPr="008252E5">
              <w:rPr>
                <w:rStyle w:val="HighlightBold"/>
              </w:rPr>
              <w:t>1D. Web address of organisation’s research integrity page (if applicable)</w:t>
            </w:r>
          </w:p>
        </w:tc>
        <w:tc>
          <w:tcPr>
            <w:tcW w:w="5359" w:type="dxa"/>
            <w:shd w:val="clear" w:color="auto" w:fill="auto"/>
            <w:vAlign w:val="center"/>
          </w:tcPr>
          <w:p w14:paraId="774514A7" w14:textId="52E0A5AC" w:rsidR="004F75A0" w:rsidRPr="008252E5" w:rsidRDefault="00BE73A4" w:rsidP="000848B5">
            <w:pPr>
              <w:pStyle w:val="BodyText"/>
              <w:spacing w:before="240" w:after="360" w:line="240" w:lineRule="exact"/>
            </w:pPr>
            <w:r w:rsidRPr="008252E5">
              <w:t>https://www.lancaster.ac.uk/research/research-services/research-integrity-ethics--governance/research-integrity/</w:t>
            </w:r>
          </w:p>
        </w:tc>
      </w:tr>
      <w:tr w:rsidR="00B249CC" w:rsidRPr="008252E5" w14:paraId="48B91CB2" w14:textId="77777777" w:rsidTr="767359A8">
        <w:trPr>
          <w:trHeight w:val="558"/>
        </w:trPr>
        <w:tc>
          <w:tcPr>
            <w:tcW w:w="4134" w:type="dxa"/>
            <w:vMerge w:val="restart"/>
            <w:shd w:val="clear" w:color="auto" w:fill="auto"/>
            <w:vAlign w:val="center"/>
          </w:tcPr>
          <w:p w14:paraId="2AD541F0" w14:textId="77777777" w:rsidR="00B249CC" w:rsidRPr="008252E5" w:rsidRDefault="00B249CC" w:rsidP="000848B5">
            <w:pPr>
              <w:pStyle w:val="BodyText"/>
              <w:spacing w:before="240" w:after="360" w:line="240" w:lineRule="exact"/>
              <w:rPr>
                <w:b/>
                <w:bCs/>
              </w:rPr>
            </w:pPr>
            <w:r w:rsidRPr="008252E5">
              <w:rPr>
                <w:rStyle w:val="HighlightBold"/>
              </w:rPr>
              <w:t>1E. Named senior member of staff to oversee research integrity</w:t>
            </w:r>
          </w:p>
        </w:tc>
        <w:tc>
          <w:tcPr>
            <w:tcW w:w="5359" w:type="dxa"/>
            <w:shd w:val="clear" w:color="auto" w:fill="auto"/>
            <w:vAlign w:val="center"/>
          </w:tcPr>
          <w:p w14:paraId="524F5693" w14:textId="7384080B" w:rsidR="00B249CC" w:rsidRPr="008252E5" w:rsidRDefault="00B249CC" w:rsidP="000848B5">
            <w:pPr>
              <w:pStyle w:val="BodyText"/>
              <w:spacing w:before="240" w:after="360" w:line="240" w:lineRule="exact"/>
              <w:rPr>
                <w:i/>
                <w:iCs/>
              </w:rPr>
            </w:pPr>
            <w:r w:rsidRPr="008252E5">
              <w:rPr>
                <w:b/>
                <w:bCs/>
              </w:rPr>
              <w:t>Name:</w:t>
            </w:r>
            <w:r w:rsidR="00BE73A4" w:rsidRPr="008252E5">
              <w:t xml:space="preserve"> </w:t>
            </w:r>
            <w:r w:rsidR="00BE73A4" w:rsidRPr="008252E5">
              <w:rPr>
                <w:b/>
                <w:bCs/>
              </w:rPr>
              <w:t>Professor Louise Heathwaite</w:t>
            </w:r>
            <w:r w:rsidR="004D252E" w:rsidRPr="008252E5">
              <w:br/>
              <w:t xml:space="preserve">Pro Vice Chancellor: Research and </w:t>
            </w:r>
            <w:r w:rsidR="00C654DD" w:rsidRPr="008252E5">
              <w:t>E</w:t>
            </w:r>
            <w:r w:rsidR="004D252E" w:rsidRPr="008252E5">
              <w:t>nterprise</w:t>
            </w:r>
          </w:p>
        </w:tc>
      </w:tr>
      <w:tr w:rsidR="00B249CC" w:rsidRPr="008252E5" w14:paraId="1A2AA0EC" w14:textId="77777777" w:rsidTr="767359A8">
        <w:trPr>
          <w:trHeight w:val="538"/>
        </w:trPr>
        <w:tc>
          <w:tcPr>
            <w:tcW w:w="4134" w:type="dxa"/>
            <w:vMerge/>
            <w:vAlign w:val="center"/>
          </w:tcPr>
          <w:p w14:paraId="008EA399" w14:textId="77777777" w:rsidR="00B249CC" w:rsidRPr="008252E5" w:rsidRDefault="00B249CC" w:rsidP="000848B5">
            <w:pPr>
              <w:pStyle w:val="BodyText"/>
              <w:spacing w:before="240" w:after="360" w:line="240" w:lineRule="exact"/>
              <w:rPr>
                <w:b/>
                <w:bCs/>
              </w:rPr>
            </w:pPr>
          </w:p>
        </w:tc>
        <w:tc>
          <w:tcPr>
            <w:tcW w:w="5359" w:type="dxa"/>
            <w:shd w:val="clear" w:color="auto" w:fill="auto"/>
            <w:vAlign w:val="center"/>
          </w:tcPr>
          <w:p w14:paraId="7B26CA45" w14:textId="2289577D" w:rsidR="00B249CC" w:rsidRPr="008252E5" w:rsidRDefault="00B249CC" w:rsidP="000848B5">
            <w:pPr>
              <w:pStyle w:val="BodyText"/>
              <w:spacing w:before="240" w:after="360" w:line="240" w:lineRule="exact"/>
              <w:rPr>
                <w:i/>
                <w:iCs/>
              </w:rPr>
            </w:pPr>
            <w:r w:rsidRPr="008252E5">
              <w:rPr>
                <w:b/>
                <w:bCs/>
              </w:rPr>
              <w:t>Email address:</w:t>
            </w:r>
            <w:r w:rsidR="00BE73A4" w:rsidRPr="008252E5">
              <w:t xml:space="preserve"> </w:t>
            </w:r>
            <w:hyperlink r:id="rId8" w:history="1">
              <w:r w:rsidR="00BE73A4" w:rsidRPr="008252E5">
                <w:rPr>
                  <w:rStyle w:val="Hyperlink"/>
                </w:rPr>
                <w:t>louise.heathwaite@lancaster.ac.uk</w:t>
              </w:r>
            </w:hyperlink>
            <w:r w:rsidR="00BE73A4" w:rsidRPr="008252E5">
              <w:t xml:space="preserve"> </w:t>
            </w:r>
          </w:p>
        </w:tc>
      </w:tr>
      <w:tr w:rsidR="00B249CC" w:rsidRPr="008252E5" w14:paraId="5019A35C" w14:textId="77777777" w:rsidTr="767359A8">
        <w:trPr>
          <w:trHeight w:val="574"/>
        </w:trPr>
        <w:tc>
          <w:tcPr>
            <w:tcW w:w="4134" w:type="dxa"/>
            <w:vMerge w:val="restart"/>
            <w:shd w:val="clear" w:color="auto" w:fill="auto"/>
            <w:vAlign w:val="center"/>
          </w:tcPr>
          <w:p w14:paraId="706C334E" w14:textId="77777777" w:rsidR="00B249CC" w:rsidRPr="008252E5" w:rsidRDefault="00B249CC" w:rsidP="000848B5">
            <w:pPr>
              <w:pStyle w:val="BodyText"/>
              <w:spacing w:before="240" w:after="360" w:line="240" w:lineRule="exact"/>
              <w:rPr>
                <w:b/>
                <w:bCs/>
              </w:rPr>
            </w:pPr>
            <w:r w:rsidRPr="008252E5">
              <w:rPr>
                <w:rStyle w:val="HighlightBold"/>
              </w:rPr>
              <w:t>1F. Named member of staff who will act as a first point of contact for anyone wanting more information on matters of research integrity</w:t>
            </w:r>
          </w:p>
        </w:tc>
        <w:tc>
          <w:tcPr>
            <w:tcW w:w="5359" w:type="dxa"/>
            <w:shd w:val="clear" w:color="auto" w:fill="auto"/>
            <w:vAlign w:val="center"/>
          </w:tcPr>
          <w:p w14:paraId="3EAFC449" w14:textId="77777777" w:rsidR="00B249CC" w:rsidRPr="008252E5" w:rsidRDefault="00B249CC" w:rsidP="000848B5">
            <w:pPr>
              <w:pStyle w:val="BodyText"/>
              <w:spacing w:before="240" w:after="360" w:line="240" w:lineRule="exact"/>
            </w:pPr>
            <w:commentRangeStart w:id="2"/>
            <w:r w:rsidRPr="008252E5">
              <w:rPr>
                <w:b/>
                <w:bCs/>
              </w:rPr>
              <w:t>Name:</w:t>
            </w:r>
            <w:r w:rsidR="00BE73A4" w:rsidRPr="008252E5">
              <w:rPr>
                <w:b/>
                <w:bCs/>
              </w:rPr>
              <w:t xml:space="preserve"> Becky Gordon</w:t>
            </w:r>
            <w:r w:rsidRPr="008252E5">
              <w:br/>
            </w:r>
            <w:r w:rsidR="004D252E" w:rsidRPr="008252E5">
              <w:t>Head of Research Quality and Policy</w:t>
            </w:r>
            <w:commentRangeEnd w:id="2"/>
            <w:r w:rsidRPr="008252E5">
              <w:rPr>
                <w:rStyle w:val="CommentReference"/>
              </w:rPr>
              <w:commentReference w:id="2"/>
            </w:r>
          </w:p>
          <w:p w14:paraId="01F932AC" w14:textId="27C18B19" w:rsidR="00DF15A5" w:rsidRPr="008252E5" w:rsidRDefault="00DF15A5" w:rsidP="000848B5">
            <w:pPr>
              <w:pStyle w:val="BodyText"/>
              <w:spacing w:before="240" w:after="360" w:line="240" w:lineRule="exact"/>
              <w:rPr>
                <w:i/>
                <w:iCs/>
              </w:rPr>
            </w:pPr>
            <w:r w:rsidRPr="008252E5">
              <w:rPr>
                <w:i/>
                <w:iCs/>
              </w:rPr>
              <w:t>Helen Brace (Nov 2023-Dec 2024)</w:t>
            </w:r>
            <w:r w:rsidRPr="008252E5">
              <w:rPr>
                <w:b/>
                <w:bCs/>
                <w:i/>
                <w:iCs/>
              </w:rPr>
              <w:br/>
            </w:r>
            <w:r w:rsidRPr="008252E5">
              <w:rPr>
                <w:i/>
                <w:iCs/>
              </w:rPr>
              <w:t>Acting Head of Research Quality and Policy</w:t>
            </w:r>
          </w:p>
        </w:tc>
      </w:tr>
      <w:tr w:rsidR="00B249CC" w:rsidRPr="008252E5" w14:paraId="03979616" w14:textId="77777777" w:rsidTr="767359A8">
        <w:trPr>
          <w:trHeight w:val="554"/>
        </w:trPr>
        <w:tc>
          <w:tcPr>
            <w:tcW w:w="4134" w:type="dxa"/>
            <w:vMerge/>
            <w:vAlign w:val="center"/>
          </w:tcPr>
          <w:p w14:paraId="029CE714" w14:textId="77777777" w:rsidR="00B249CC" w:rsidRPr="008252E5" w:rsidRDefault="00B249CC" w:rsidP="000848B5">
            <w:pPr>
              <w:pStyle w:val="BodyText"/>
              <w:spacing w:before="240" w:after="360" w:line="240" w:lineRule="exact"/>
            </w:pPr>
          </w:p>
        </w:tc>
        <w:tc>
          <w:tcPr>
            <w:tcW w:w="5359" w:type="dxa"/>
            <w:shd w:val="clear" w:color="auto" w:fill="auto"/>
            <w:vAlign w:val="center"/>
          </w:tcPr>
          <w:p w14:paraId="7DDAD79F" w14:textId="77777777" w:rsidR="00832627" w:rsidRPr="008252E5" w:rsidRDefault="00B249CC" w:rsidP="000848B5">
            <w:pPr>
              <w:pStyle w:val="BodyText"/>
              <w:spacing w:before="240" w:after="360" w:line="240" w:lineRule="exact"/>
            </w:pPr>
            <w:r w:rsidRPr="008252E5">
              <w:rPr>
                <w:b/>
                <w:bCs/>
              </w:rPr>
              <w:t>Email address:</w:t>
            </w:r>
            <w:r w:rsidR="00BE73A4" w:rsidRPr="008252E5">
              <w:t xml:space="preserve"> </w:t>
            </w:r>
            <w:r w:rsidR="006216BD" w:rsidRPr="008252E5">
              <w:br/>
            </w:r>
            <w:hyperlink r:id="rId13" w:history="1">
              <w:r w:rsidR="006216BD" w:rsidRPr="008252E5">
                <w:rPr>
                  <w:rStyle w:val="Hyperlink"/>
                </w:rPr>
                <w:t>b.gordon@lancaster.ac.uk</w:t>
              </w:r>
            </w:hyperlink>
            <w:r w:rsidR="00BE73A4" w:rsidRPr="008252E5">
              <w:t xml:space="preserve"> </w:t>
            </w:r>
          </w:p>
          <w:p w14:paraId="5859AEE6" w14:textId="4F8EEBBE" w:rsidR="006216BD" w:rsidRPr="008252E5" w:rsidRDefault="00873C46" w:rsidP="000848B5">
            <w:pPr>
              <w:pStyle w:val="BodyText"/>
              <w:spacing w:before="240" w:after="360" w:line="240" w:lineRule="exact"/>
            </w:pPr>
            <w:hyperlink r:id="rId14" w:history="1">
              <w:r w:rsidR="00832627" w:rsidRPr="008252E5">
                <w:rPr>
                  <w:rStyle w:val="Hyperlink"/>
                  <w:i/>
                  <w:iCs/>
                </w:rPr>
                <w:t>h.brace@lancaster.ac.uk</w:t>
              </w:r>
            </w:hyperlink>
            <w:r w:rsidR="006216BD" w:rsidRPr="008252E5">
              <w:t xml:space="preserve"> </w:t>
            </w:r>
          </w:p>
        </w:tc>
      </w:tr>
    </w:tbl>
    <w:p w14:paraId="69657D04" w14:textId="4FE9085C" w:rsidR="008724E6" w:rsidRPr="008252E5" w:rsidRDefault="008724E6" w:rsidP="009D7816">
      <w:pPr>
        <w:pStyle w:val="Heading2"/>
      </w:pPr>
      <w:r w:rsidRPr="008252E5">
        <w:lastRenderedPageBreak/>
        <w:t>Section 2: Promoting high standards of research integrity and positive research culture. Description of actions and activities undertaken</w:t>
      </w:r>
      <w:r w:rsidR="00FF15FD" w:rsidRPr="008252E5">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724E6" w:rsidRPr="008252E5" w14:paraId="093E4A15" w14:textId="77777777" w:rsidTr="05740F1B">
        <w:tc>
          <w:tcPr>
            <w:tcW w:w="9493" w:type="dxa"/>
            <w:shd w:val="clear" w:color="auto" w:fill="auto"/>
          </w:tcPr>
          <w:p w14:paraId="5CD5983D" w14:textId="678AFDD5" w:rsidR="008724E6" w:rsidRPr="008252E5" w:rsidRDefault="00073C98" w:rsidP="000B2126">
            <w:pPr>
              <w:pStyle w:val="BodyText"/>
              <w:spacing w:after="360"/>
            </w:pPr>
            <w:r w:rsidRPr="008252E5">
              <w:rPr>
                <w:rStyle w:val="HighlightBold"/>
              </w:rPr>
              <w:t>2</w:t>
            </w:r>
            <w:r w:rsidR="008724E6" w:rsidRPr="008252E5">
              <w:rPr>
                <w:rStyle w:val="HighlightBold"/>
              </w:rPr>
              <w:t>A</w:t>
            </w:r>
            <w:r w:rsidR="009D7816" w:rsidRPr="008252E5">
              <w:rPr>
                <w:rStyle w:val="HighlightBold"/>
              </w:rPr>
              <w:t>.</w:t>
            </w:r>
            <w:r w:rsidR="008724E6" w:rsidRPr="008252E5">
              <w:rPr>
                <w:rStyle w:val="HighlightBold"/>
              </w:rPr>
              <w:t xml:space="preserve"> Description of current systems and culture</w:t>
            </w:r>
          </w:p>
        </w:tc>
      </w:tr>
      <w:tr w:rsidR="00073C98" w:rsidRPr="008252E5" w14:paraId="4141CD92" w14:textId="77777777" w:rsidTr="05740F1B">
        <w:tc>
          <w:tcPr>
            <w:tcW w:w="9493" w:type="dxa"/>
            <w:shd w:val="clear" w:color="auto" w:fill="auto"/>
          </w:tcPr>
          <w:p w14:paraId="40EE546A" w14:textId="40B213DF" w:rsidR="00073C98" w:rsidRPr="008252E5" w:rsidRDefault="004D252E" w:rsidP="000848B5">
            <w:pPr>
              <w:pStyle w:val="BodyText"/>
              <w:spacing w:after="360"/>
            </w:pPr>
            <w:r w:rsidRPr="008252E5">
              <w:t xml:space="preserve">Lancaster </w:t>
            </w:r>
            <w:r w:rsidR="000B2126" w:rsidRPr="008252E5">
              <w:t>requires</w:t>
            </w:r>
            <w:r w:rsidRPr="008252E5">
              <w:t xml:space="preserve"> the highest standard of research integrity from university researchers, irrespective of the source(s) of funding</w:t>
            </w:r>
            <w:r w:rsidR="00A96B6C" w:rsidRPr="008252E5">
              <w:t xml:space="preserve"> (if applicable)</w:t>
            </w:r>
            <w:r w:rsidRPr="008252E5">
              <w:t>, area of research or research group. We are committed to upholding University UK’s </w:t>
            </w:r>
            <w:hyperlink r:id="rId15" w:history="1">
              <w:r w:rsidRPr="008252E5">
                <w:rPr>
                  <w:rStyle w:val="Hyperlink"/>
                  <w:color w:val="4472C4" w:themeColor="accent1"/>
                </w:rPr>
                <w:t>Concordat to Support Research Integrity </w:t>
              </w:r>
            </w:hyperlink>
            <w:r w:rsidRPr="008252E5">
              <w:t>and have been a subscriber to the UK Research Integrity Office since 2011.</w:t>
            </w:r>
          </w:p>
          <w:p w14:paraId="419A4A92" w14:textId="6B1CA718" w:rsidR="004D252E" w:rsidRPr="008252E5" w:rsidRDefault="004D252E" w:rsidP="004D252E">
            <w:r w:rsidRPr="008252E5">
              <w:t xml:space="preserve">Research at Lancaster shall be legal and transparent and conducted in line with the principles of accountability and responsibility, honesty, openness and respect, as set out in our </w:t>
            </w:r>
            <w:hyperlink r:id="rId16" w:history="1">
              <w:r w:rsidR="00E82C1E" w:rsidRPr="008252E5">
                <w:rPr>
                  <w:rStyle w:val="Hyperlink"/>
                  <w:color w:val="4472C4" w:themeColor="accent1"/>
                </w:rPr>
                <w:t>Research Ethics Code of Practice</w:t>
              </w:r>
            </w:hyperlink>
            <w:r w:rsidRPr="008252E5">
              <w:t xml:space="preserve">.  The University has existing policies and procedures that consider the ethical and reputational concerns highlighted below. Individual responsibility and accountability for adherence to these policies and to conducting research that </w:t>
            </w:r>
            <w:r w:rsidR="002F4362" w:rsidRPr="008252E5">
              <w:t>is always</w:t>
            </w:r>
            <w:r w:rsidRPr="008252E5">
              <w:t xml:space="preserve"> legal and transparent rest with the Principal Investigator </w:t>
            </w:r>
            <w:r w:rsidR="002F4362" w:rsidRPr="008252E5">
              <w:t xml:space="preserve">or </w:t>
            </w:r>
            <w:r w:rsidR="000954BF" w:rsidRPr="008252E5">
              <w:t>PhD S</w:t>
            </w:r>
            <w:r w:rsidR="002F4362" w:rsidRPr="008252E5">
              <w:t>upervisors</w:t>
            </w:r>
            <w:r w:rsidRPr="008252E5">
              <w:t xml:space="preserve">. </w:t>
            </w:r>
          </w:p>
          <w:p w14:paraId="121B7A74" w14:textId="01EA1E85" w:rsidR="00723BFE" w:rsidRPr="008252E5" w:rsidRDefault="00127FA4" w:rsidP="00723BFE">
            <w:pPr>
              <w:pStyle w:val="BodyText"/>
              <w:spacing w:after="0"/>
              <w:rPr>
                <w:b/>
                <w:bCs/>
              </w:rPr>
            </w:pPr>
            <w:r w:rsidRPr="008252E5">
              <w:rPr>
                <w:b/>
                <w:bCs/>
              </w:rPr>
              <w:t>Leadership:</w:t>
            </w:r>
          </w:p>
          <w:p w14:paraId="43357F98" w14:textId="0A1D753D" w:rsidR="00723BFE" w:rsidRPr="008252E5" w:rsidRDefault="00723BFE" w:rsidP="009A25C6">
            <w:pPr>
              <w:spacing w:line="240" w:lineRule="auto"/>
            </w:pPr>
            <w:r w:rsidRPr="008252E5">
              <w:t xml:space="preserve">Research integrity is led by the </w:t>
            </w:r>
            <w:r w:rsidRPr="008252E5">
              <w:rPr>
                <w:u w:val="single"/>
              </w:rPr>
              <w:t>University Research Ethics and Integrity Committee (UREIC)</w:t>
            </w:r>
            <w:r w:rsidRPr="008252E5">
              <w:t xml:space="preserve">. This committee is Chaired by Professor Malcolm Joyce, Cross-Faculty Associate Dean for Research, and has a representative membership that includes </w:t>
            </w:r>
            <w:r w:rsidR="009A25C6" w:rsidRPr="008252E5">
              <w:t xml:space="preserve">senior </w:t>
            </w:r>
            <w:r w:rsidRPr="008252E5">
              <w:t xml:space="preserve">individuals from across all faculties as well as a post-graduate researcher, a Research Associate and independent lay members. </w:t>
            </w:r>
          </w:p>
          <w:p w14:paraId="766CC0AF" w14:textId="223796B4" w:rsidR="00723BFE" w:rsidRPr="008252E5" w:rsidRDefault="00723BFE" w:rsidP="009A25C6">
            <w:pPr>
              <w:spacing w:line="240" w:lineRule="auto"/>
            </w:pPr>
            <w:r w:rsidRPr="008252E5">
              <w:t>UREIC has a core responsibility to foster and develop a culture of ethical research and research integrity in our research community. UREIC has oversight of the core elements of research ethics and integrity including the commitment to the Concordat to Support Research Integrity.</w:t>
            </w:r>
            <w:r w:rsidR="00232CA3" w:rsidRPr="008252E5">
              <w:t xml:space="preserve"> </w:t>
            </w:r>
            <w:r w:rsidR="002953DF" w:rsidRPr="008252E5">
              <w:t>The committee’s terms of reference include the ongoing review</w:t>
            </w:r>
            <w:r w:rsidR="00873FDF" w:rsidRPr="008252E5">
              <w:t xml:space="preserve">, </w:t>
            </w:r>
            <w:r w:rsidR="00D52917" w:rsidRPr="008252E5">
              <w:t>development</w:t>
            </w:r>
            <w:r w:rsidR="00873FDF" w:rsidRPr="008252E5">
              <w:t xml:space="preserve"> and adherence to</w:t>
            </w:r>
            <w:r w:rsidR="002953DF" w:rsidRPr="008252E5">
              <w:t xml:space="preserve"> all policies and guidelines that relate to research ethics and integrity</w:t>
            </w:r>
            <w:r w:rsidR="00D52917" w:rsidRPr="008252E5">
              <w:t>, promoting best practice and good conduct throughout the University</w:t>
            </w:r>
            <w:r w:rsidR="00C52E76" w:rsidRPr="008252E5">
              <w:t xml:space="preserve">, </w:t>
            </w:r>
            <w:r w:rsidR="00854E4D" w:rsidRPr="008252E5">
              <w:t xml:space="preserve">and keeping abreast of </w:t>
            </w:r>
            <w:proofErr w:type="gramStart"/>
            <w:r w:rsidR="00854E4D" w:rsidRPr="008252E5">
              <w:t>externally-driven</w:t>
            </w:r>
            <w:proofErr w:type="gramEnd"/>
            <w:r w:rsidR="00854E4D" w:rsidRPr="008252E5">
              <w:t xml:space="preserve"> development</w:t>
            </w:r>
            <w:r w:rsidR="002F26AA" w:rsidRPr="008252E5">
              <w:t xml:space="preserve">s to ensure that the University meets all necessary requirements. </w:t>
            </w:r>
          </w:p>
          <w:p w14:paraId="41561C94" w14:textId="77777777" w:rsidR="004D252E" w:rsidRPr="008252E5" w:rsidRDefault="004D252E" w:rsidP="00CA205F">
            <w:pPr>
              <w:pStyle w:val="BodyText"/>
              <w:spacing w:after="0"/>
              <w:rPr>
                <w:b/>
                <w:bCs/>
              </w:rPr>
            </w:pPr>
            <w:r w:rsidRPr="008252E5">
              <w:rPr>
                <w:b/>
                <w:bCs/>
              </w:rPr>
              <w:t>Research Services:</w:t>
            </w:r>
          </w:p>
          <w:p w14:paraId="734757B8" w14:textId="73F8276F" w:rsidR="00F261FA" w:rsidRPr="008252E5" w:rsidRDefault="00873C46" w:rsidP="000F22F3">
            <w:hyperlink r:id="rId17">
              <w:r w:rsidR="00681BA0" w:rsidRPr="008252E5">
                <w:rPr>
                  <w:rStyle w:val="Hyperlink"/>
                  <w:color w:val="4472C4" w:themeColor="accent1"/>
                </w:rPr>
                <w:t>Research Services</w:t>
              </w:r>
            </w:hyperlink>
            <w:r w:rsidR="00681BA0" w:rsidRPr="008252E5">
              <w:t xml:space="preserve"> </w:t>
            </w:r>
            <w:r w:rsidR="004D252E" w:rsidRPr="008252E5">
              <w:t>provides information and guidance relating to the University’s research activities</w:t>
            </w:r>
            <w:r w:rsidR="007853A6" w:rsidRPr="008252E5">
              <w:t xml:space="preserve"> at all stages of development, </w:t>
            </w:r>
            <w:r w:rsidR="008A1A63" w:rsidRPr="008252E5">
              <w:t>completion, or dissemination</w:t>
            </w:r>
            <w:r w:rsidR="004D252E" w:rsidRPr="008252E5">
              <w:t xml:space="preserve">. All applications for externally funded research have a designated member of the team to support researchers in the project development. Through this support any ethical, reputational or other concerns can be flagged at the pre-application stage. </w:t>
            </w:r>
            <w:r w:rsidR="00F261FA" w:rsidRPr="008252E5">
              <w:t>Additional</w:t>
            </w:r>
            <w:r w:rsidR="0003042B" w:rsidRPr="008252E5">
              <w:t xml:space="preserve"> support teams </w:t>
            </w:r>
            <w:proofErr w:type="gramStart"/>
            <w:r w:rsidR="0003042B" w:rsidRPr="008252E5">
              <w:t>provide assistance</w:t>
            </w:r>
            <w:proofErr w:type="gramEnd"/>
            <w:r w:rsidR="0003042B" w:rsidRPr="008252E5">
              <w:t xml:space="preserve"> after the award o</w:t>
            </w:r>
            <w:r w:rsidR="000727C0" w:rsidRPr="008252E5">
              <w:t xml:space="preserve">f </w:t>
            </w:r>
            <w:r w:rsidR="0003042B" w:rsidRPr="008252E5">
              <w:t>funding, or for unfunded projects</w:t>
            </w:r>
            <w:r w:rsidR="009D0C5C" w:rsidRPr="008252E5">
              <w:t xml:space="preserve">, to help </w:t>
            </w:r>
            <w:commentRangeStart w:id="3"/>
            <w:r w:rsidR="009D0C5C" w:rsidRPr="008252E5">
              <w:t>researcher</w:t>
            </w:r>
            <w:commentRangeEnd w:id="3"/>
            <w:r w:rsidR="00681BA0" w:rsidRPr="008252E5">
              <w:rPr>
                <w:rStyle w:val="CommentReference"/>
              </w:rPr>
              <w:commentReference w:id="3"/>
            </w:r>
            <w:r w:rsidR="00595B4F" w:rsidRPr="008252E5">
              <w:t>s and research teams</w:t>
            </w:r>
            <w:r w:rsidR="009D0C5C" w:rsidRPr="008252E5">
              <w:t xml:space="preserve"> ensure they are acting with integrity and accordance to all </w:t>
            </w:r>
            <w:r w:rsidR="00F261FA" w:rsidRPr="008252E5">
              <w:t xml:space="preserve">legal and other requirements during their project. </w:t>
            </w:r>
          </w:p>
          <w:p w14:paraId="7189DF0D" w14:textId="77777777" w:rsidR="00CB1E47" w:rsidRPr="008252E5" w:rsidRDefault="00CB1E47" w:rsidP="00CB1E47">
            <w:pPr>
              <w:pStyle w:val="BodyText"/>
              <w:spacing w:after="0"/>
              <w:rPr>
                <w:b/>
                <w:bCs/>
              </w:rPr>
            </w:pPr>
            <w:r w:rsidRPr="008252E5">
              <w:rPr>
                <w:b/>
                <w:bCs/>
              </w:rPr>
              <w:t>Training:</w:t>
            </w:r>
          </w:p>
          <w:p w14:paraId="726EB4ED" w14:textId="5DEA2974" w:rsidR="00405C70" w:rsidRPr="008252E5" w:rsidRDefault="00CB1E47" w:rsidP="002F26AA">
            <w:commentRangeStart w:id="4"/>
            <w:r w:rsidRPr="008252E5">
              <w:t>Training</w:t>
            </w:r>
            <w:commentRangeEnd w:id="4"/>
            <w:r w:rsidRPr="008252E5">
              <w:rPr>
                <w:rStyle w:val="CommentReference"/>
              </w:rPr>
              <w:commentReference w:id="4"/>
            </w:r>
            <w:r w:rsidRPr="008252E5">
              <w:t xml:space="preserve"> is offered to all research staff </w:t>
            </w:r>
            <w:r w:rsidR="00F801B8" w:rsidRPr="008252E5">
              <w:t xml:space="preserve">and PhD students </w:t>
            </w:r>
            <w:r w:rsidRPr="008252E5">
              <w:t xml:space="preserve">at Lancaster which covers a range of topics including research </w:t>
            </w:r>
            <w:r w:rsidR="00F801B8" w:rsidRPr="008252E5">
              <w:t xml:space="preserve">ethics, governance and </w:t>
            </w:r>
            <w:r w:rsidRPr="008252E5">
              <w:t xml:space="preserve">integrity. Specific online </w:t>
            </w:r>
            <w:hyperlink r:id="rId18">
              <w:r w:rsidRPr="008252E5">
                <w:rPr>
                  <w:rStyle w:val="Hyperlink"/>
                  <w:color w:val="4472C4" w:themeColor="accent1"/>
                </w:rPr>
                <w:t xml:space="preserve">research integrity </w:t>
              </w:r>
              <w:r w:rsidRPr="008252E5">
                <w:rPr>
                  <w:rStyle w:val="Hyperlink"/>
                  <w:color w:val="4472C4" w:themeColor="accent1"/>
                </w:rPr>
                <w:lastRenderedPageBreak/>
                <w:t>training</w:t>
              </w:r>
            </w:hyperlink>
            <w:r w:rsidRPr="008252E5">
              <w:t xml:space="preserve"> is available to all staff and students via our webpages. </w:t>
            </w:r>
            <w:r w:rsidR="0051581F" w:rsidRPr="008252E5">
              <w:t>All staff are required to take</w:t>
            </w:r>
            <w:r w:rsidR="00AB0DD8" w:rsidRPr="008252E5">
              <w:t>,</w:t>
            </w:r>
            <w:r w:rsidR="0051581F" w:rsidRPr="008252E5">
              <w:t xml:space="preserve"> and re</w:t>
            </w:r>
            <w:r w:rsidR="00AB0DD8" w:rsidRPr="008252E5">
              <w:t>gularly re</w:t>
            </w:r>
            <w:r w:rsidR="0051581F" w:rsidRPr="008252E5">
              <w:t>fresh</w:t>
            </w:r>
            <w:r w:rsidR="00AB0DD8" w:rsidRPr="008252E5">
              <w:t>,</w:t>
            </w:r>
            <w:r w:rsidR="0051581F" w:rsidRPr="008252E5">
              <w:t xml:space="preserve"> mandatory training on EDI, </w:t>
            </w:r>
            <w:r w:rsidR="00AB0DD8" w:rsidRPr="008252E5">
              <w:t xml:space="preserve">health and safety, mental health awareness and information security. </w:t>
            </w:r>
          </w:p>
          <w:p w14:paraId="744F703C" w14:textId="0B631023" w:rsidR="004D252E" w:rsidRPr="008252E5" w:rsidRDefault="004D252E" w:rsidP="00CA205F">
            <w:pPr>
              <w:pStyle w:val="BodyText"/>
              <w:spacing w:after="0"/>
              <w:rPr>
                <w:b/>
                <w:bCs/>
              </w:rPr>
            </w:pPr>
            <w:r w:rsidRPr="008252E5">
              <w:rPr>
                <w:b/>
                <w:bCs/>
              </w:rPr>
              <w:t xml:space="preserve">Researcher </w:t>
            </w:r>
            <w:r w:rsidR="002838BD" w:rsidRPr="008252E5">
              <w:rPr>
                <w:b/>
                <w:bCs/>
              </w:rPr>
              <w:t>s</w:t>
            </w:r>
            <w:r w:rsidRPr="008252E5">
              <w:rPr>
                <w:b/>
                <w:bCs/>
              </w:rPr>
              <w:t>elf-</w:t>
            </w:r>
            <w:r w:rsidR="002838BD" w:rsidRPr="008252E5">
              <w:rPr>
                <w:b/>
                <w:bCs/>
              </w:rPr>
              <w:t>a</w:t>
            </w:r>
            <w:r w:rsidRPr="008252E5">
              <w:rPr>
                <w:b/>
                <w:bCs/>
              </w:rPr>
              <w:t xml:space="preserve">ssessment: </w:t>
            </w:r>
          </w:p>
          <w:p w14:paraId="3B0427D2" w14:textId="0F2817E1" w:rsidR="004D252E" w:rsidRPr="008252E5" w:rsidRDefault="004D252E" w:rsidP="003477A8">
            <w:r w:rsidRPr="008252E5">
              <w:t xml:space="preserve">All externally-funded research projects must be costed and approved through </w:t>
            </w:r>
            <w:hyperlink r:id="rId19" w:history="1">
              <w:r w:rsidRPr="008252E5">
                <w:rPr>
                  <w:rStyle w:val="Hyperlink"/>
                  <w:color w:val="4472C4" w:themeColor="accent1"/>
                </w:rPr>
                <w:t>ACP</w:t>
              </w:r>
            </w:hyperlink>
            <w:r w:rsidRPr="008252E5">
              <w:t xml:space="preserve">, the University’s costing and pricing tool and the Principal Investigator (PI) must complete the researcher self-assessment in the </w:t>
            </w:r>
            <w:hyperlink r:id="rId20" w:anchor="responsibilities-of-the-principal-investigator-360610-0" w:history="1">
              <w:r w:rsidRPr="008252E5">
                <w:rPr>
                  <w:rStyle w:val="Hyperlink"/>
                  <w:color w:val="4472C4" w:themeColor="accent1"/>
                </w:rPr>
                <w:t>ACP governance checklis</w:t>
              </w:r>
            </w:hyperlink>
            <w:r w:rsidRPr="008252E5">
              <w:rPr>
                <w:rStyle w:val="Hyperlink"/>
                <w:color w:val="4472C4" w:themeColor="accent1"/>
              </w:rPr>
              <w:t>t</w:t>
            </w:r>
            <w:r w:rsidR="000A5D7F" w:rsidRPr="008252E5">
              <w:t xml:space="preserve">. </w:t>
            </w:r>
            <w:r w:rsidRPr="008252E5">
              <w:t>PIs</w:t>
            </w:r>
            <w:r w:rsidR="00410E31" w:rsidRPr="008252E5">
              <w:t xml:space="preserve"> and PhD supervisors</w:t>
            </w:r>
            <w:r w:rsidRPr="008252E5">
              <w:t xml:space="preserve"> have responsibility to ensure they assess all their research</w:t>
            </w:r>
            <w:r w:rsidR="003477A8" w:rsidRPr="008252E5">
              <w:t>,</w:t>
            </w:r>
            <w:r w:rsidRPr="008252E5">
              <w:t xml:space="preserve"> includ</w:t>
            </w:r>
            <w:r w:rsidR="003477A8" w:rsidRPr="008252E5">
              <w:t>ing</w:t>
            </w:r>
            <w:r w:rsidRPr="008252E5">
              <w:t xml:space="preserve"> un-funded research that is not logged through ACP</w:t>
            </w:r>
            <w:r w:rsidR="003477A8" w:rsidRPr="008252E5">
              <w:t>,</w:t>
            </w:r>
            <w:r w:rsidRPr="008252E5">
              <w:t xml:space="preserve"> and flag up issues for consideration through one or more established routes (e.g. Faculty Research Ethics Committees) or, seek advice from Research Services. </w:t>
            </w:r>
          </w:p>
          <w:p w14:paraId="297875DD" w14:textId="012C75D6" w:rsidR="004D252E" w:rsidRPr="008252E5" w:rsidRDefault="002E0E92" w:rsidP="00CA205F">
            <w:pPr>
              <w:pStyle w:val="BodyText"/>
              <w:spacing w:after="0"/>
              <w:rPr>
                <w:b/>
                <w:bCs/>
              </w:rPr>
            </w:pPr>
            <w:r w:rsidRPr="008252E5">
              <w:rPr>
                <w:b/>
                <w:bCs/>
              </w:rPr>
              <w:t xml:space="preserve">Funding </w:t>
            </w:r>
            <w:r w:rsidR="002838BD" w:rsidRPr="008252E5">
              <w:rPr>
                <w:b/>
                <w:bCs/>
              </w:rPr>
              <w:t>a</w:t>
            </w:r>
            <w:r w:rsidR="004D252E" w:rsidRPr="008252E5">
              <w:rPr>
                <w:b/>
                <w:bCs/>
              </w:rPr>
              <w:t>pproval:</w:t>
            </w:r>
          </w:p>
          <w:p w14:paraId="11C10965" w14:textId="773876FF" w:rsidR="004D252E" w:rsidRPr="008252E5" w:rsidRDefault="004D252E" w:rsidP="003477A8">
            <w:r w:rsidRPr="008252E5">
              <w:t xml:space="preserve">The ACP process includes the </w:t>
            </w:r>
            <w:hyperlink r:id="rId21" w:anchor="responsibilities-of-approvers-360610-1" w:history="1">
              <w:r w:rsidRPr="008252E5">
                <w:rPr>
                  <w:rStyle w:val="Hyperlink"/>
                  <w:color w:val="4472C4" w:themeColor="accent1"/>
                </w:rPr>
                <w:t>approval stage</w:t>
              </w:r>
            </w:hyperlink>
            <w:r w:rsidRPr="008252E5">
              <w:t>. All externally funded applications for research will go to the relevant Head of Department (HoD) for approval. HoDs can view the financial cost/recovery, research partners and researcher self-assessment. At this stage HoDs can raise any concerns before approval.  Depending on the size of the application further approvals may be required from the</w:t>
            </w:r>
            <w:r w:rsidR="004B1897" w:rsidRPr="008252E5">
              <w:t xml:space="preserve"> Faculty Executive</w:t>
            </w:r>
            <w:r w:rsidRPr="008252E5">
              <w:t xml:space="preserve"> Dean/</w:t>
            </w:r>
            <w:r w:rsidR="004B1897" w:rsidRPr="008252E5">
              <w:t xml:space="preserve">Research </w:t>
            </w:r>
            <w:r w:rsidRPr="008252E5">
              <w:t>Institute Director, or for the largest grants the Director of Finance and Vice-Chancellor. Applications requiring institutional match are considered by the University Planning and Resources Group. At any stage of this approval process questions may be raised and the process of approval halted.</w:t>
            </w:r>
          </w:p>
          <w:p w14:paraId="35921194" w14:textId="28332BC7" w:rsidR="004D252E" w:rsidRPr="008252E5" w:rsidRDefault="004D252E" w:rsidP="00CA205F">
            <w:pPr>
              <w:pStyle w:val="BodyText"/>
              <w:spacing w:after="0"/>
              <w:rPr>
                <w:b/>
                <w:bCs/>
              </w:rPr>
            </w:pPr>
            <w:r w:rsidRPr="008252E5">
              <w:rPr>
                <w:b/>
                <w:bCs/>
              </w:rPr>
              <w:t xml:space="preserve">Ethical </w:t>
            </w:r>
            <w:r w:rsidR="002838BD" w:rsidRPr="008252E5">
              <w:rPr>
                <w:b/>
                <w:bCs/>
              </w:rPr>
              <w:t>a</w:t>
            </w:r>
            <w:r w:rsidRPr="008252E5">
              <w:rPr>
                <w:b/>
                <w:bCs/>
              </w:rPr>
              <w:t>pproval:</w:t>
            </w:r>
          </w:p>
          <w:p w14:paraId="5B5EAFC3" w14:textId="1DD837C4" w:rsidR="002D016B" w:rsidRPr="008252E5" w:rsidRDefault="004D252E" w:rsidP="003477A8">
            <w:r w:rsidRPr="008252E5">
              <w:t>Ethic</w:t>
            </w:r>
            <w:r w:rsidR="00CC1757" w:rsidRPr="008252E5">
              <w:t>s committee</w:t>
            </w:r>
            <w:r w:rsidRPr="008252E5">
              <w:t xml:space="preserve"> approval is required for activities that directly involve humans, human tissue, data relating to humans, or other ethical issues that have been raised. It is the responsibility of the Principal Investigator, or PhD Supervisor, to decide whether ethical approval is required. </w:t>
            </w:r>
          </w:p>
          <w:p w14:paraId="3C7AAEA2" w14:textId="45BF89C5" w:rsidR="004D252E" w:rsidRPr="008252E5" w:rsidRDefault="002D016B" w:rsidP="003477A8">
            <w:r w:rsidRPr="008252E5">
              <w:t xml:space="preserve">An </w:t>
            </w:r>
            <w:r w:rsidR="004D252E" w:rsidRPr="008252E5">
              <w:t>application</w:t>
            </w:r>
            <w:r w:rsidRPr="008252E5">
              <w:t xml:space="preserve"> for ethical approval</w:t>
            </w:r>
            <w:r w:rsidR="004D252E" w:rsidRPr="008252E5">
              <w:t xml:space="preserve"> must be submitted to the relevant Faculty Research Ethics Committee (FREC) via</w:t>
            </w:r>
            <w:r w:rsidR="003477A8" w:rsidRPr="008252E5">
              <w:t xml:space="preserve"> our digital approval system</w:t>
            </w:r>
            <w:r w:rsidR="004D252E" w:rsidRPr="008252E5">
              <w:t xml:space="preserve"> </w:t>
            </w:r>
            <w:hyperlink r:id="rId22" w:history="1">
              <w:r w:rsidR="004D252E" w:rsidRPr="008252E5">
                <w:rPr>
                  <w:rStyle w:val="Hyperlink"/>
                  <w:color w:val="4472C4" w:themeColor="accent1"/>
                </w:rPr>
                <w:t>REAMS</w:t>
              </w:r>
            </w:hyperlink>
            <w:r w:rsidR="004D252E" w:rsidRPr="008252E5">
              <w:t xml:space="preserve">. Approval must be gained prior to any work being undertaken. Details of the internal processes can be found in the </w:t>
            </w:r>
            <w:hyperlink r:id="rId23" w:history="1">
              <w:r w:rsidR="004D252E" w:rsidRPr="008252E5">
                <w:rPr>
                  <w:rStyle w:val="Hyperlink"/>
                  <w:color w:val="4472C4" w:themeColor="accent1"/>
                </w:rPr>
                <w:t>Procedures for Research Ethics Approval</w:t>
              </w:r>
            </w:hyperlink>
            <w:r w:rsidR="004747CB" w:rsidRPr="008252E5">
              <w:t xml:space="preserve">. </w:t>
            </w:r>
            <w:r w:rsidR="004D252E" w:rsidRPr="008252E5">
              <w:t xml:space="preserve">FREC review is also a route to raise </w:t>
            </w:r>
            <w:r w:rsidR="00AE44ED" w:rsidRPr="008252E5">
              <w:t xml:space="preserve">potential </w:t>
            </w:r>
            <w:r w:rsidR="004D252E" w:rsidRPr="008252E5">
              <w:t>conflicts of interest.</w:t>
            </w:r>
          </w:p>
          <w:p w14:paraId="0B931B24" w14:textId="7D01A8EA" w:rsidR="000B2126" w:rsidRPr="008252E5" w:rsidRDefault="00723BFE" w:rsidP="000B2126">
            <w:r w:rsidRPr="008252E5">
              <w:t xml:space="preserve">UREIC has oversight of </w:t>
            </w:r>
            <w:r w:rsidR="00202F83" w:rsidRPr="008252E5">
              <w:t>all FREC activity</w:t>
            </w:r>
            <w:r w:rsidR="006F3DD5" w:rsidRPr="008252E5">
              <w:t>;</w:t>
            </w:r>
            <w:r w:rsidR="00202F83" w:rsidRPr="008252E5">
              <w:t xml:space="preserve"> it </w:t>
            </w:r>
            <w:r w:rsidR="00635CE4" w:rsidRPr="008252E5">
              <w:t>make</w:t>
            </w:r>
            <w:r w:rsidR="006F3DD5" w:rsidRPr="008252E5">
              <w:t>s</w:t>
            </w:r>
            <w:r w:rsidR="00635CE4" w:rsidRPr="008252E5">
              <w:t xml:space="preserve"> decisions</w:t>
            </w:r>
            <w:r w:rsidR="00202F83" w:rsidRPr="008252E5">
              <w:t xml:space="preserve"> </w:t>
            </w:r>
            <w:r w:rsidR="006F3DD5" w:rsidRPr="008252E5">
              <w:t xml:space="preserve">on </w:t>
            </w:r>
            <w:r w:rsidR="00202F83" w:rsidRPr="008252E5">
              <w:t>applications referred up from the FREC and</w:t>
            </w:r>
            <w:r w:rsidR="00635CE4" w:rsidRPr="008252E5">
              <w:t xml:space="preserve"> undertakes periodic review</w:t>
            </w:r>
            <w:r w:rsidR="00660BC4" w:rsidRPr="008252E5">
              <w:t>s</w:t>
            </w:r>
            <w:r w:rsidR="00635CE4" w:rsidRPr="008252E5">
              <w:t xml:space="preserve"> of FREC approvals. </w:t>
            </w:r>
            <w:r w:rsidR="000B2126" w:rsidRPr="008252E5">
              <w:t>The total number of FREC applications received 201</w:t>
            </w:r>
            <w:r w:rsidR="00F06B8E" w:rsidRPr="008252E5">
              <w:t>9</w:t>
            </w:r>
            <w:r w:rsidR="000B2126" w:rsidRPr="008252E5">
              <w:t>-</w:t>
            </w:r>
            <w:r w:rsidR="00F06B8E" w:rsidRPr="008252E5">
              <w:t>20</w:t>
            </w:r>
            <w:r w:rsidR="000B2126" w:rsidRPr="008252E5">
              <w:t xml:space="preserve"> to 202</w:t>
            </w:r>
            <w:r w:rsidR="00F06B8E" w:rsidRPr="008252E5">
              <w:t>2</w:t>
            </w:r>
            <w:r w:rsidR="000B2126" w:rsidRPr="008252E5">
              <w:t>-2</w:t>
            </w:r>
            <w:r w:rsidR="00F06B8E" w:rsidRPr="008252E5">
              <w:t>3</w:t>
            </w:r>
            <w:r w:rsidR="000B2126" w:rsidRPr="008252E5">
              <w:t xml:space="preserve"> are shown in Table 1, together with those funded projects identified by the researcher as not needing ethical review via the </w:t>
            </w:r>
            <w:r w:rsidR="00F06B8E" w:rsidRPr="008252E5">
              <w:t>ACP</w:t>
            </w:r>
            <w:r w:rsidR="000B2126" w:rsidRPr="008252E5">
              <w:t xml:space="preserve"> governance checklist. </w:t>
            </w:r>
          </w:p>
          <w:p w14:paraId="2584FB0A" w14:textId="77777777" w:rsidR="000B2126" w:rsidRPr="008252E5" w:rsidRDefault="000B2126" w:rsidP="00DD2634">
            <w:pPr>
              <w:pStyle w:val="BodyText"/>
              <w:spacing w:after="0"/>
              <w:rPr>
                <w:b/>
                <w:bCs/>
              </w:rPr>
            </w:pPr>
            <w:r w:rsidRPr="008252E5">
              <w:rPr>
                <w:b/>
                <w:bCs/>
              </w:rPr>
              <w:t xml:space="preserve">Table 1: Submitted Research Ethics Applications </w:t>
            </w:r>
          </w:p>
          <w:tbl>
            <w:tblPr>
              <w:tblStyle w:val="GridTable4-Accent51"/>
              <w:tblW w:w="7390" w:type="dxa"/>
              <w:tblLook w:val="04A0" w:firstRow="1" w:lastRow="0" w:firstColumn="1" w:lastColumn="0" w:noHBand="0" w:noVBand="1"/>
              <w:tblCaption w:val="submitted research ethics applications 2018-19"/>
              <w:tblDescription w:val="the number of submitted research ethics applications in each faculty committee, in total and where a review was not needed for a funded project - all for the university year 2018-19"/>
            </w:tblPr>
            <w:tblGrid>
              <w:gridCol w:w="2854"/>
              <w:gridCol w:w="1134"/>
              <w:gridCol w:w="1134"/>
              <w:gridCol w:w="1134"/>
              <w:gridCol w:w="1134"/>
            </w:tblGrid>
            <w:tr w:rsidR="00DD2634" w:rsidRPr="008252E5" w14:paraId="395CE75E" w14:textId="77777777" w:rsidTr="000E5A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4" w:type="dxa"/>
                  <w:noWrap/>
                  <w:hideMark/>
                </w:tcPr>
                <w:p w14:paraId="799F62A1" w14:textId="77777777" w:rsidR="00F06B8E" w:rsidRPr="008252E5" w:rsidRDefault="00F06B8E" w:rsidP="00F06B8E">
                  <w:pPr>
                    <w:rPr>
                      <w:rFonts w:ascii="Times New Roman" w:eastAsia="Times New Roman" w:hAnsi="Times New Roman" w:cs="Times New Roman"/>
                      <w:color w:val="auto"/>
                      <w:lang w:eastAsia="en-GB"/>
                    </w:rPr>
                  </w:pPr>
                </w:p>
              </w:tc>
              <w:tc>
                <w:tcPr>
                  <w:tcW w:w="1134" w:type="dxa"/>
                </w:tcPr>
                <w:p w14:paraId="7297BCF0" w14:textId="5793BB64" w:rsidR="00F06B8E" w:rsidRPr="008252E5" w:rsidRDefault="00F06B8E" w:rsidP="00F06B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2019-20</w:t>
                  </w:r>
                </w:p>
              </w:tc>
              <w:tc>
                <w:tcPr>
                  <w:tcW w:w="1134" w:type="dxa"/>
                </w:tcPr>
                <w:p w14:paraId="4238262B" w14:textId="5988E11D" w:rsidR="00F06B8E" w:rsidRPr="008252E5" w:rsidRDefault="00F06B8E" w:rsidP="00F06B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2020-21</w:t>
                  </w:r>
                </w:p>
              </w:tc>
              <w:tc>
                <w:tcPr>
                  <w:tcW w:w="1134" w:type="dxa"/>
                  <w:noWrap/>
                </w:tcPr>
                <w:p w14:paraId="7F1D1782" w14:textId="7331040D" w:rsidR="00F06B8E" w:rsidRPr="008252E5" w:rsidRDefault="00F06B8E" w:rsidP="00F06B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2021-22</w:t>
                  </w:r>
                </w:p>
              </w:tc>
              <w:tc>
                <w:tcPr>
                  <w:tcW w:w="1134" w:type="dxa"/>
                </w:tcPr>
                <w:p w14:paraId="1A1BD8E7" w14:textId="00598F61" w:rsidR="00F06B8E" w:rsidRPr="008252E5" w:rsidRDefault="00F06B8E" w:rsidP="00F06B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2022-23</w:t>
                  </w:r>
                </w:p>
              </w:tc>
            </w:tr>
            <w:tr w:rsidR="00DD2634" w:rsidRPr="008252E5" w14:paraId="176A010B" w14:textId="77777777" w:rsidTr="00DD26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4" w:type="dxa"/>
                  <w:noWrap/>
                  <w:hideMark/>
                </w:tcPr>
                <w:p w14:paraId="3C24C5A2" w14:textId="77777777" w:rsidR="00F06B8E" w:rsidRPr="008252E5" w:rsidRDefault="00F06B8E" w:rsidP="00F06B8E">
                  <w:pPr>
                    <w:rPr>
                      <w:rFonts w:ascii="Calibri" w:eastAsia="Times New Roman" w:hAnsi="Calibri" w:cs="Calibri"/>
                      <w:lang w:eastAsia="en-GB"/>
                    </w:rPr>
                  </w:pPr>
                  <w:r w:rsidRPr="008252E5">
                    <w:rPr>
                      <w:rFonts w:ascii="Calibri" w:eastAsia="Times New Roman" w:hAnsi="Calibri" w:cs="Calibri"/>
                      <w:lang w:eastAsia="en-GB"/>
                    </w:rPr>
                    <w:t>Total FREC reviewed</w:t>
                  </w:r>
                </w:p>
              </w:tc>
              <w:tc>
                <w:tcPr>
                  <w:tcW w:w="1134" w:type="dxa"/>
                </w:tcPr>
                <w:p w14:paraId="69BEB270" w14:textId="2278C825" w:rsidR="00F06B8E" w:rsidRPr="008252E5" w:rsidRDefault="00F06B8E" w:rsidP="00F06B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565</w:t>
                  </w:r>
                </w:p>
              </w:tc>
              <w:tc>
                <w:tcPr>
                  <w:tcW w:w="1134" w:type="dxa"/>
                </w:tcPr>
                <w:p w14:paraId="53D063AE" w14:textId="0EA2F9BA" w:rsidR="00F06B8E" w:rsidRPr="008252E5" w:rsidRDefault="00F06B8E" w:rsidP="00F06B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542</w:t>
                  </w:r>
                </w:p>
              </w:tc>
              <w:tc>
                <w:tcPr>
                  <w:tcW w:w="1134" w:type="dxa"/>
                  <w:noWrap/>
                </w:tcPr>
                <w:p w14:paraId="7C8CE0C0" w14:textId="1D531696" w:rsidR="00F06B8E" w:rsidRPr="008252E5" w:rsidRDefault="00F06B8E" w:rsidP="00F06B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636</w:t>
                  </w:r>
                </w:p>
              </w:tc>
              <w:tc>
                <w:tcPr>
                  <w:tcW w:w="1134" w:type="dxa"/>
                </w:tcPr>
                <w:p w14:paraId="43971E16" w14:textId="5B041C8D" w:rsidR="00F06B8E" w:rsidRPr="008252E5" w:rsidRDefault="00EA16E8" w:rsidP="00F06B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643</w:t>
                  </w:r>
                </w:p>
              </w:tc>
            </w:tr>
            <w:tr w:rsidR="00DD2634" w:rsidRPr="008252E5" w14:paraId="44C829CE" w14:textId="77777777" w:rsidTr="00DD2634">
              <w:trPr>
                <w:trHeight w:val="300"/>
              </w:trPr>
              <w:tc>
                <w:tcPr>
                  <w:cnfStyle w:val="001000000000" w:firstRow="0" w:lastRow="0" w:firstColumn="1" w:lastColumn="0" w:oddVBand="0" w:evenVBand="0" w:oddHBand="0" w:evenHBand="0" w:firstRowFirstColumn="0" w:firstRowLastColumn="0" w:lastRowFirstColumn="0" w:lastRowLastColumn="0"/>
                  <w:tcW w:w="2854" w:type="dxa"/>
                  <w:noWrap/>
                  <w:hideMark/>
                </w:tcPr>
                <w:p w14:paraId="58B6CEAC" w14:textId="77777777" w:rsidR="00F06B8E" w:rsidRPr="008252E5" w:rsidRDefault="00F06B8E" w:rsidP="00F06B8E">
                  <w:pPr>
                    <w:rPr>
                      <w:rFonts w:ascii="Calibri" w:eastAsia="Times New Roman" w:hAnsi="Calibri" w:cs="Calibri"/>
                      <w:lang w:eastAsia="en-GB"/>
                    </w:rPr>
                  </w:pPr>
                  <w:r w:rsidRPr="008252E5">
                    <w:rPr>
                      <w:rFonts w:ascii="Calibri" w:eastAsia="Times New Roman" w:hAnsi="Calibri" w:cs="Calibri"/>
                      <w:lang w:eastAsia="en-GB"/>
                    </w:rPr>
                    <w:t>FREC review not needed</w:t>
                  </w:r>
                </w:p>
              </w:tc>
              <w:tc>
                <w:tcPr>
                  <w:tcW w:w="1134" w:type="dxa"/>
                </w:tcPr>
                <w:p w14:paraId="782387DA" w14:textId="7746F915" w:rsidR="00F06B8E" w:rsidRPr="008252E5" w:rsidRDefault="00F06B8E" w:rsidP="00F06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139</w:t>
                  </w:r>
                </w:p>
              </w:tc>
              <w:tc>
                <w:tcPr>
                  <w:tcW w:w="1134" w:type="dxa"/>
                </w:tcPr>
                <w:p w14:paraId="061FC191" w14:textId="78CE8B2B" w:rsidR="00F06B8E" w:rsidRPr="008252E5" w:rsidRDefault="00F06B8E" w:rsidP="00F06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146</w:t>
                  </w:r>
                </w:p>
              </w:tc>
              <w:tc>
                <w:tcPr>
                  <w:tcW w:w="1134" w:type="dxa"/>
                  <w:noWrap/>
                </w:tcPr>
                <w:p w14:paraId="0B518576" w14:textId="26BDEA3B" w:rsidR="00F06B8E" w:rsidRPr="008252E5" w:rsidRDefault="00F06B8E" w:rsidP="00F06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206</w:t>
                  </w:r>
                </w:p>
              </w:tc>
              <w:tc>
                <w:tcPr>
                  <w:tcW w:w="1134" w:type="dxa"/>
                </w:tcPr>
                <w:p w14:paraId="5179B2AB" w14:textId="4C63C565" w:rsidR="00F06B8E" w:rsidRPr="008252E5" w:rsidRDefault="000E3625" w:rsidP="00F06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158</w:t>
                  </w:r>
                </w:p>
              </w:tc>
            </w:tr>
          </w:tbl>
          <w:p w14:paraId="503FA7A0" w14:textId="77777777" w:rsidR="00AA18F9" w:rsidRPr="008252E5" w:rsidRDefault="00AA18F9" w:rsidP="00AA18F9">
            <w:pPr>
              <w:pStyle w:val="BodyText"/>
              <w:spacing w:after="0"/>
              <w:rPr>
                <w:b/>
                <w:bCs/>
              </w:rPr>
            </w:pPr>
          </w:p>
          <w:p w14:paraId="55E47BC6" w14:textId="7148F735" w:rsidR="000B2126" w:rsidRPr="008252E5" w:rsidRDefault="00AA18F9" w:rsidP="00AA18F9">
            <w:pPr>
              <w:pStyle w:val="BodyText"/>
              <w:spacing w:after="0"/>
              <w:rPr>
                <w:b/>
                <w:bCs/>
              </w:rPr>
            </w:pPr>
            <w:r w:rsidRPr="008252E5">
              <w:rPr>
                <w:b/>
                <w:bCs/>
              </w:rPr>
              <w:lastRenderedPageBreak/>
              <w:t xml:space="preserve">Clinical </w:t>
            </w:r>
            <w:r w:rsidR="002838BD" w:rsidRPr="008252E5">
              <w:rPr>
                <w:b/>
                <w:bCs/>
              </w:rPr>
              <w:t>r</w:t>
            </w:r>
            <w:r w:rsidRPr="008252E5">
              <w:rPr>
                <w:b/>
                <w:bCs/>
              </w:rPr>
              <w:t xml:space="preserve">esearch </w:t>
            </w:r>
            <w:r w:rsidR="002838BD" w:rsidRPr="008252E5">
              <w:rPr>
                <w:b/>
                <w:bCs/>
              </w:rPr>
              <w:t>s</w:t>
            </w:r>
            <w:r w:rsidRPr="008252E5">
              <w:rPr>
                <w:b/>
                <w:bCs/>
              </w:rPr>
              <w:t xml:space="preserve">ponsorship: </w:t>
            </w:r>
          </w:p>
          <w:p w14:paraId="7AE6B212" w14:textId="739B0DCC" w:rsidR="00AA18F9" w:rsidRPr="008252E5" w:rsidRDefault="00AA18F9" w:rsidP="00AA18F9">
            <w:r w:rsidRPr="008252E5">
              <w:t xml:space="preserve">All research projects that require approval from the Health Research Authority gain appropriate ethical review (via either </w:t>
            </w:r>
            <w:r w:rsidR="007A2B43" w:rsidRPr="008252E5">
              <w:t>an</w:t>
            </w:r>
            <w:r w:rsidRPr="008252E5">
              <w:t xml:space="preserve"> NHS Research Ethics Committee or relevant FREC) and project sponsorship prior to commencing. Where sponsorship is provided by Lancaster University the process</w:t>
            </w:r>
            <w:r w:rsidR="004C3512" w:rsidRPr="008252E5">
              <w:t xml:space="preserve"> </w:t>
            </w:r>
            <w:r w:rsidRPr="008252E5">
              <w:t>is</w:t>
            </w:r>
            <w:r w:rsidR="00CB6881" w:rsidRPr="008252E5">
              <w:t xml:space="preserve"> overseen by</w:t>
            </w:r>
            <w:r w:rsidR="000276D5" w:rsidRPr="008252E5">
              <w:t>, and approval granted by,</w:t>
            </w:r>
            <w:r w:rsidR="00CB6881" w:rsidRPr="008252E5">
              <w:t xml:space="preserve"> the </w:t>
            </w:r>
            <w:r w:rsidR="00CB6881" w:rsidRPr="008252E5">
              <w:rPr>
                <w:u w:val="single"/>
              </w:rPr>
              <w:t>Clinical Research Sponsorship Committee</w:t>
            </w:r>
            <w:r w:rsidR="00CB6881" w:rsidRPr="008252E5">
              <w:t xml:space="preserve"> and</w:t>
            </w:r>
            <w:r w:rsidRPr="008252E5">
              <w:t xml:space="preserve"> </w:t>
            </w:r>
            <w:r w:rsidR="004C3512" w:rsidRPr="008252E5">
              <w:t>researchers are supported</w:t>
            </w:r>
            <w:r w:rsidRPr="008252E5">
              <w:t xml:space="preserve"> by a Clinical Research Governance Officer. Related policies, procedures and templates are </w:t>
            </w:r>
            <w:hyperlink r:id="rId24" w:history="1">
              <w:r w:rsidRPr="008252E5">
                <w:rPr>
                  <w:rStyle w:val="Hyperlink"/>
                  <w:color w:val="4472C4" w:themeColor="accent1"/>
                </w:rPr>
                <w:t>available to researchers on our webpages</w:t>
              </w:r>
            </w:hyperlink>
            <w:r w:rsidR="00735432" w:rsidRPr="008252E5">
              <w:t xml:space="preserve">, </w:t>
            </w:r>
            <w:r w:rsidRPr="008252E5">
              <w:t>table 2 shows the number of sponsored projects over the last four years.</w:t>
            </w:r>
          </w:p>
          <w:p w14:paraId="64A661D1" w14:textId="77777777" w:rsidR="00AA18F9" w:rsidRPr="008252E5" w:rsidRDefault="00AA18F9" w:rsidP="000276D5">
            <w:pPr>
              <w:pStyle w:val="BodyText"/>
              <w:spacing w:after="0"/>
              <w:rPr>
                <w:b/>
                <w:bCs/>
              </w:rPr>
            </w:pPr>
            <w:r w:rsidRPr="008252E5">
              <w:rPr>
                <w:b/>
                <w:bCs/>
              </w:rPr>
              <w:t xml:space="preserve">Table 2: Sponsored Clinical Research Projects </w:t>
            </w:r>
          </w:p>
          <w:tbl>
            <w:tblPr>
              <w:tblStyle w:val="GridTable4-Accent51"/>
              <w:tblW w:w="7390" w:type="dxa"/>
              <w:tblLook w:val="04A0" w:firstRow="1" w:lastRow="0" w:firstColumn="1" w:lastColumn="0" w:noHBand="0" w:noVBand="1"/>
              <w:tblCaption w:val="submitted research ethics applications 2018-19"/>
              <w:tblDescription w:val="the number of submitted research ethics applications in each faculty committee, in total and where a review was not needed for a funded project - all for the university year 2018-19"/>
            </w:tblPr>
            <w:tblGrid>
              <w:gridCol w:w="2854"/>
              <w:gridCol w:w="1134"/>
              <w:gridCol w:w="1134"/>
              <w:gridCol w:w="1134"/>
              <w:gridCol w:w="1134"/>
            </w:tblGrid>
            <w:tr w:rsidR="000276D5" w:rsidRPr="008252E5" w14:paraId="4E0EDBAB" w14:textId="77777777" w:rsidTr="000276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4" w:type="dxa"/>
                  <w:noWrap/>
                  <w:hideMark/>
                </w:tcPr>
                <w:p w14:paraId="5E038649" w14:textId="77777777" w:rsidR="000276D5" w:rsidRPr="008252E5" w:rsidRDefault="000276D5" w:rsidP="000276D5">
                  <w:pPr>
                    <w:rPr>
                      <w:rFonts w:ascii="Times New Roman" w:eastAsia="Times New Roman" w:hAnsi="Times New Roman" w:cs="Times New Roman"/>
                      <w:color w:val="auto"/>
                      <w:lang w:eastAsia="en-GB"/>
                    </w:rPr>
                  </w:pPr>
                </w:p>
              </w:tc>
              <w:tc>
                <w:tcPr>
                  <w:tcW w:w="1134" w:type="dxa"/>
                </w:tcPr>
                <w:p w14:paraId="2E36908F" w14:textId="1AD44B13" w:rsidR="000276D5" w:rsidRPr="008252E5" w:rsidRDefault="000276D5" w:rsidP="000276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2019-20</w:t>
                  </w:r>
                </w:p>
              </w:tc>
              <w:tc>
                <w:tcPr>
                  <w:tcW w:w="1134" w:type="dxa"/>
                </w:tcPr>
                <w:p w14:paraId="7E5486B3" w14:textId="5D50DD82" w:rsidR="000276D5" w:rsidRPr="008252E5" w:rsidRDefault="000276D5" w:rsidP="000276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2020-21</w:t>
                  </w:r>
                </w:p>
              </w:tc>
              <w:tc>
                <w:tcPr>
                  <w:tcW w:w="1134" w:type="dxa"/>
                </w:tcPr>
                <w:p w14:paraId="0BC08F8B" w14:textId="024EBA9E" w:rsidR="000276D5" w:rsidRPr="008252E5" w:rsidRDefault="000276D5" w:rsidP="000276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2021-22</w:t>
                  </w:r>
                </w:p>
              </w:tc>
              <w:tc>
                <w:tcPr>
                  <w:tcW w:w="1134" w:type="dxa"/>
                </w:tcPr>
                <w:p w14:paraId="484385EC" w14:textId="0210EE87" w:rsidR="000276D5" w:rsidRPr="008252E5" w:rsidRDefault="000276D5" w:rsidP="000276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GB"/>
                    </w:rPr>
                  </w:pPr>
                  <w:r w:rsidRPr="008252E5">
                    <w:rPr>
                      <w:rFonts w:ascii="Calibri" w:eastAsia="Times New Roman" w:hAnsi="Calibri" w:cs="Calibri"/>
                      <w:color w:val="auto"/>
                      <w:lang w:eastAsia="en-GB"/>
                    </w:rPr>
                    <w:t>2022-23</w:t>
                  </w:r>
                </w:p>
              </w:tc>
            </w:tr>
            <w:tr w:rsidR="000276D5" w:rsidRPr="008252E5" w14:paraId="7891AAD5" w14:textId="77777777" w:rsidTr="0015570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854" w:type="dxa"/>
                  <w:noWrap/>
                  <w:hideMark/>
                </w:tcPr>
                <w:p w14:paraId="2B0E201D" w14:textId="77777777" w:rsidR="000276D5" w:rsidRPr="008252E5" w:rsidRDefault="000276D5" w:rsidP="000276D5">
                  <w:pPr>
                    <w:rPr>
                      <w:rFonts w:ascii="Calibri" w:eastAsia="Times New Roman" w:hAnsi="Calibri" w:cs="Calibri"/>
                      <w:lang w:eastAsia="en-GB"/>
                    </w:rPr>
                  </w:pPr>
                  <w:r w:rsidRPr="008252E5">
                    <w:rPr>
                      <w:rFonts w:ascii="Calibri" w:eastAsia="Times New Roman" w:hAnsi="Calibri" w:cs="Calibri"/>
                      <w:lang w:eastAsia="en-GB"/>
                    </w:rPr>
                    <w:t>Total sponsored</w:t>
                  </w:r>
                </w:p>
              </w:tc>
              <w:tc>
                <w:tcPr>
                  <w:tcW w:w="1134" w:type="dxa"/>
                </w:tcPr>
                <w:p w14:paraId="71FB9C7D" w14:textId="2159F294" w:rsidR="000276D5" w:rsidRPr="008252E5" w:rsidRDefault="000276D5" w:rsidP="000276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26</w:t>
                  </w:r>
                </w:p>
              </w:tc>
              <w:tc>
                <w:tcPr>
                  <w:tcW w:w="1134" w:type="dxa"/>
                </w:tcPr>
                <w:p w14:paraId="5CAF5A46" w14:textId="12BBCD92" w:rsidR="000276D5" w:rsidRPr="008252E5" w:rsidRDefault="000276D5" w:rsidP="000276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16</w:t>
                  </w:r>
                </w:p>
              </w:tc>
              <w:tc>
                <w:tcPr>
                  <w:tcW w:w="1134" w:type="dxa"/>
                </w:tcPr>
                <w:p w14:paraId="4E271ACD" w14:textId="49CA0E30" w:rsidR="000276D5" w:rsidRPr="008252E5" w:rsidRDefault="000276D5" w:rsidP="000276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23</w:t>
                  </w:r>
                </w:p>
              </w:tc>
              <w:tc>
                <w:tcPr>
                  <w:tcW w:w="1134" w:type="dxa"/>
                </w:tcPr>
                <w:p w14:paraId="57F2CF14" w14:textId="776F817E" w:rsidR="000276D5" w:rsidRPr="008252E5" w:rsidRDefault="00B34016" w:rsidP="000276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252E5">
                    <w:rPr>
                      <w:rFonts w:ascii="Calibri" w:eastAsia="Times New Roman" w:hAnsi="Calibri" w:cs="Calibri"/>
                      <w:lang w:eastAsia="en-GB"/>
                    </w:rPr>
                    <w:t>28</w:t>
                  </w:r>
                </w:p>
              </w:tc>
            </w:tr>
          </w:tbl>
          <w:p w14:paraId="0B9EF393" w14:textId="77777777" w:rsidR="00AA18F9" w:rsidRPr="008252E5" w:rsidRDefault="00AA18F9" w:rsidP="00AA18F9">
            <w:pPr>
              <w:spacing w:after="0" w:line="240" w:lineRule="auto"/>
              <w:rPr>
                <w:b/>
                <w:bCs/>
              </w:rPr>
            </w:pPr>
          </w:p>
          <w:p w14:paraId="498A417C" w14:textId="15833951" w:rsidR="004D252E" w:rsidRPr="008252E5" w:rsidRDefault="004D252E" w:rsidP="00CA205F">
            <w:pPr>
              <w:pStyle w:val="BodyText"/>
              <w:spacing w:after="0"/>
              <w:rPr>
                <w:b/>
                <w:bCs/>
              </w:rPr>
            </w:pPr>
            <w:r w:rsidRPr="008252E5">
              <w:rPr>
                <w:b/>
                <w:bCs/>
              </w:rPr>
              <w:t xml:space="preserve">Research </w:t>
            </w:r>
            <w:r w:rsidR="002838BD" w:rsidRPr="008252E5">
              <w:rPr>
                <w:b/>
                <w:bCs/>
              </w:rPr>
              <w:t>d</w:t>
            </w:r>
            <w:r w:rsidRPr="008252E5">
              <w:rPr>
                <w:b/>
                <w:bCs/>
              </w:rPr>
              <w:t xml:space="preserve">ue </w:t>
            </w:r>
            <w:r w:rsidR="002838BD" w:rsidRPr="008252E5">
              <w:rPr>
                <w:b/>
                <w:bCs/>
              </w:rPr>
              <w:t>d</w:t>
            </w:r>
            <w:r w:rsidRPr="008252E5">
              <w:rPr>
                <w:b/>
                <w:bCs/>
              </w:rPr>
              <w:t xml:space="preserve">iligence </w:t>
            </w:r>
            <w:r w:rsidR="002838BD" w:rsidRPr="008252E5">
              <w:rPr>
                <w:b/>
                <w:bCs/>
              </w:rPr>
              <w:t>p</w:t>
            </w:r>
            <w:r w:rsidRPr="008252E5">
              <w:rPr>
                <w:b/>
                <w:bCs/>
              </w:rPr>
              <w:t>anel:</w:t>
            </w:r>
          </w:p>
          <w:p w14:paraId="57FF1A92" w14:textId="55B26A29" w:rsidR="004D252E" w:rsidRPr="008252E5" w:rsidRDefault="004D252E" w:rsidP="004D252E">
            <w:pPr>
              <w:spacing w:after="0" w:line="240" w:lineRule="auto"/>
            </w:pPr>
            <w:r w:rsidRPr="008252E5">
              <w:t xml:space="preserve">The University </w:t>
            </w:r>
            <w:r w:rsidR="2703EF30" w:rsidRPr="008252E5">
              <w:t>assesses</w:t>
            </w:r>
            <w:r w:rsidRPr="008252E5">
              <w:t xml:space="preserve"> the financial, operational and reputational risk of working with certain research funders and partners</w:t>
            </w:r>
            <w:r w:rsidR="00993C79" w:rsidRPr="008252E5">
              <w:t xml:space="preserve"> and in accordance with our acceptance of external funding policy</w:t>
            </w:r>
            <w:commentRangeStart w:id="5"/>
            <w:r w:rsidRPr="008252E5">
              <w:t>.</w:t>
            </w:r>
            <w:commentRangeEnd w:id="5"/>
            <w:r w:rsidRPr="008252E5">
              <w:commentReference w:id="5"/>
            </w:r>
            <w:r w:rsidRPr="008252E5">
              <w:t xml:space="preserve"> This is done through a series of checks to identify and manage risk before an activity is approved to proceed. The due diligence checks are undertaken by the </w:t>
            </w:r>
            <w:hyperlink r:id="rId25">
              <w:r w:rsidRPr="008252E5">
                <w:rPr>
                  <w:rStyle w:val="Hyperlink"/>
                  <w:color w:val="4472C4" w:themeColor="accent1"/>
                </w:rPr>
                <w:t>Research Development Officer</w:t>
              </w:r>
            </w:hyperlink>
            <w:r w:rsidRPr="008252E5">
              <w:t xml:space="preserve"> team in liaison with the PI and research partners. A partner questionnaire is </w:t>
            </w:r>
            <w:proofErr w:type="gramStart"/>
            <w:r w:rsidRPr="008252E5">
              <w:t>required</w:t>
            </w:r>
            <w:proofErr w:type="gramEnd"/>
            <w:r w:rsidRPr="008252E5">
              <w:t xml:space="preserve"> and a checklist is completed and submitted as documentary evidence to the </w:t>
            </w:r>
            <w:r w:rsidRPr="008252E5">
              <w:rPr>
                <w:u w:val="single"/>
              </w:rPr>
              <w:t>Research Due Diligence Panel</w:t>
            </w:r>
            <w:r w:rsidRPr="008252E5">
              <w:t xml:space="preserve"> for approval or recommendation. Due diligence checks are a requirement of several research funders including UKRI. </w:t>
            </w:r>
          </w:p>
          <w:p w14:paraId="70AB3BC9" w14:textId="77777777" w:rsidR="004D252E" w:rsidRPr="008252E5" w:rsidRDefault="004D252E" w:rsidP="004D252E">
            <w:pPr>
              <w:spacing w:after="0" w:line="240" w:lineRule="auto"/>
            </w:pPr>
          </w:p>
          <w:p w14:paraId="74218BAC" w14:textId="6EBFB278" w:rsidR="004D252E" w:rsidRPr="008252E5" w:rsidRDefault="005E6A8B" w:rsidP="00CA205F">
            <w:pPr>
              <w:pStyle w:val="BodyText"/>
              <w:spacing w:after="0"/>
              <w:rPr>
                <w:b/>
                <w:bCs/>
              </w:rPr>
            </w:pPr>
            <w:r w:rsidRPr="008252E5">
              <w:rPr>
                <w:b/>
                <w:bCs/>
              </w:rPr>
              <w:t>P</w:t>
            </w:r>
            <w:r w:rsidR="004D252E" w:rsidRPr="008252E5">
              <w:rPr>
                <w:b/>
                <w:bCs/>
              </w:rPr>
              <w:t xml:space="preserve">hilanthropic </w:t>
            </w:r>
            <w:r w:rsidR="002838BD" w:rsidRPr="008252E5">
              <w:rPr>
                <w:b/>
                <w:bCs/>
              </w:rPr>
              <w:t>f</w:t>
            </w:r>
            <w:r w:rsidR="004D252E" w:rsidRPr="008252E5">
              <w:rPr>
                <w:b/>
                <w:bCs/>
              </w:rPr>
              <w:t>undraising:</w:t>
            </w:r>
          </w:p>
          <w:p w14:paraId="45F836DA" w14:textId="77777777" w:rsidR="004D252E" w:rsidRPr="008252E5" w:rsidRDefault="004D252E" w:rsidP="004D252E">
            <w:pPr>
              <w:spacing w:after="0" w:line="240" w:lineRule="auto"/>
            </w:pPr>
            <w:r w:rsidRPr="008252E5">
              <w:t xml:space="preserve">The University has an </w:t>
            </w:r>
            <w:hyperlink r:id="rId26" w:history="1">
              <w:r w:rsidRPr="008252E5">
                <w:rPr>
                  <w:rStyle w:val="Hyperlink"/>
                  <w:color w:val="4472C4" w:themeColor="accent1"/>
                </w:rPr>
                <w:t>Ethical Giving Policy</w:t>
              </w:r>
            </w:hyperlink>
            <w:r w:rsidRPr="008252E5">
              <w:t xml:space="preserve"> for staff engaged in fundraising activities, ensuring that due diligence is observed when assessing whether or not to accept significant benefactions or establish specific philanthropic relationships. A due diligence and review process is overseen by the Director of Development &amp; Alumni Relations and through a </w:t>
            </w:r>
            <w:r w:rsidRPr="008252E5">
              <w:rPr>
                <w:u w:val="single"/>
              </w:rPr>
              <w:t>Gift Review Panel</w:t>
            </w:r>
            <w:r w:rsidRPr="008252E5">
              <w:t>.</w:t>
            </w:r>
          </w:p>
          <w:p w14:paraId="5E5D1C4A" w14:textId="77777777" w:rsidR="004D252E" w:rsidRPr="008252E5" w:rsidRDefault="004D252E" w:rsidP="004D252E">
            <w:pPr>
              <w:spacing w:after="0" w:line="240" w:lineRule="auto"/>
            </w:pPr>
          </w:p>
          <w:p w14:paraId="35132D95" w14:textId="5312091A" w:rsidR="004D252E" w:rsidRPr="008252E5" w:rsidRDefault="004D252E" w:rsidP="00CA205F">
            <w:pPr>
              <w:pStyle w:val="BodyText"/>
              <w:spacing w:after="0"/>
              <w:rPr>
                <w:b/>
                <w:bCs/>
              </w:rPr>
            </w:pPr>
            <w:r w:rsidRPr="008252E5">
              <w:rPr>
                <w:b/>
                <w:bCs/>
              </w:rPr>
              <w:t xml:space="preserve">Animal </w:t>
            </w:r>
            <w:r w:rsidR="002838BD" w:rsidRPr="008252E5">
              <w:rPr>
                <w:b/>
                <w:bCs/>
              </w:rPr>
              <w:t>r</w:t>
            </w:r>
            <w:r w:rsidRPr="008252E5">
              <w:rPr>
                <w:b/>
                <w:bCs/>
              </w:rPr>
              <w:t>esearch:</w:t>
            </w:r>
          </w:p>
          <w:p w14:paraId="3BC879C8" w14:textId="1AE44C5B" w:rsidR="004D252E" w:rsidRPr="008252E5" w:rsidRDefault="004D252E" w:rsidP="004D252E">
            <w:pPr>
              <w:rPr>
                <w:rFonts w:cstheme="minorHAnsi"/>
              </w:rPr>
            </w:pPr>
            <w:r w:rsidRPr="008252E5">
              <w:rPr>
                <w:rFonts w:cstheme="minorHAnsi"/>
              </w:rPr>
              <w:t>All research on animals</w:t>
            </w:r>
            <w:r w:rsidR="00330BBC" w:rsidRPr="008252E5">
              <w:rPr>
                <w:rFonts w:cstheme="minorHAnsi"/>
              </w:rPr>
              <w:t>,</w:t>
            </w:r>
            <w:r w:rsidRPr="008252E5">
              <w:rPr>
                <w:rFonts w:cstheme="minorHAnsi"/>
              </w:rPr>
              <w:t xml:space="preserve"> or their tissues</w:t>
            </w:r>
            <w:r w:rsidR="00330BBC" w:rsidRPr="008252E5">
              <w:rPr>
                <w:rFonts w:cstheme="minorHAnsi"/>
              </w:rPr>
              <w:t>,</w:t>
            </w:r>
            <w:r w:rsidRPr="008252E5">
              <w:rPr>
                <w:rFonts w:cstheme="minorHAnsi"/>
              </w:rPr>
              <w:t xml:space="preserve"> is dealt with by the </w:t>
            </w:r>
            <w:r w:rsidRPr="008252E5">
              <w:rPr>
                <w:rFonts w:cstheme="minorHAnsi"/>
                <w:bCs/>
                <w:u w:val="single"/>
              </w:rPr>
              <w:t>Animal Welfare and Ethical Review Body</w:t>
            </w:r>
            <w:r w:rsidRPr="008252E5">
              <w:rPr>
                <w:rFonts w:cstheme="minorHAnsi"/>
              </w:rPr>
              <w:t xml:space="preserve"> (</w:t>
            </w:r>
            <w:hyperlink r:id="rId27" w:history="1">
              <w:r w:rsidRPr="008252E5">
                <w:rPr>
                  <w:rStyle w:val="Hyperlink"/>
                  <w:color w:val="4472C4" w:themeColor="accent1"/>
                </w:rPr>
                <w:t>AWERB</w:t>
              </w:r>
            </w:hyperlink>
            <w:r w:rsidRPr="008252E5">
              <w:rPr>
                <w:rFonts w:cstheme="minorHAnsi"/>
              </w:rPr>
              <w:t>)  in accordance with the requirements of the Animal (Scientific Procedures) Act 1986 (</w:t>
            </w:r>
            <w:r w:rsidR="00756023" w:rsidRPr="008252E5">
              <w:rPr>
                <w:rFonts w:cstheme="minorHAnsi"/>
              </w:rPr>
              <w:t>a</w:t>
            </w:r>
            <w:r w:rsidRPr="008252E5">
              <w:rPr>
                <w:rFonts w:cstheme="minorHAnsi"/>
              </w:rPr>
              <w:t>mended 2012). Prior to any work being conducted, each project must have undergone a rigorous and objective review by AWERB, whose membership includes lay persons, scientists and those with veterinary and animal care expertise.</w:t>
            </w:r>
          </w:p>
          <w:p w14:paraId="14F4C088" w14:textId="3099B08F" w:rsidR="004D252E" w:rsidRPr="008252E5" w:rsidRDefault="004D252E" w:rsidP="00CA205F">
            <w:pPr>
              <w:pStyle w:val="BodyText"/>
              <w:spacing w:after="0"/>
              <w:rPr>
                <w:b/>
                <w:bCs/>
              </w:rPr>
            </w:pPr>
            <w:r w:rsidRPr="008252E5">
              <w:rPr>
                <w:b/>
                <w:bCs/>
              </w:rPr>
              <w:t xml:space="preserve">Export </w:t>
            </w:r>
            <w:r w:rsidR="002838BD" w:rsidRPr="008252E5">
              <w:rPr>
                <w:b/>
                <w:bCs/>
              </w:rPr>
              <w:t>c</w:t>
            </w:r>
            <w:r w:rsidRPr="008252E5">
              <w:rPr>
                <w:b/>
                <w:bCs/>
              </w:rPr>
              <w:t>ontrols:</w:t>
            </w:r>
          </w:p>
          <w:p w14:paraId="43D6F56E" w14:textId="1940B3B1" w:rsidR="008A1746" w:rsidRPr="008252E5" w:rsidRDefault="004D252E" w:rsidP="009D1A80">
            <w:r w:rsidRPr="008252E5">
              <w:t xml:space="preserve">The University engages widely in international research collaboration, global movement of researchers and the exchange of new ideas in pursuit of its mission to undertake excellent research and provide world-class education. However, some of the knowledge held, goods used, and activities conducted by academics and researchers have the potential to be misused and are therefore subject to export control law. Export controls are needed for a variety of reasons, including national security and international treaty obligations. Compliance with export </w:t>
            </w:r>
            <w:r w:rsidRPr="008252E5">
              <w:lastRenderedPageBreak/>
              <w:t xml:space="preserve">controls is a serious obligation and the University has a </w:t>
            </w:r>
            <w:hyperlink r:id="rId28" w:history="1">
              <w:r w:rsidRPr="008252E5">
                <w:rPr>
                  <w:rStyle w:val="Hyperlink"/>
                  <w:color w:val="4472C4" w:themeColor="accent1"/>
                </w:rPr>
                <w:t>statement on Export Controls</w:t>
              </w:r>
            </w:hyperlink>
            <w:r w:rsidRPr="008252E5">
              <w:rPr>
                <w:rStyle w:val="Hyperlink"/>
                <w:color w:val="4472C4" w:themeColor="accent1"/>
              </w:rPr>
              <w:t xml:space="preserve"> </w:t>
            </w:r>
            <w:r w:rsidRPr="008252E5">
              <w:t xml:space="preserve">and </w:t>
            </w:r>
            <w:hyperlink r:id="rId29" w:history="1">
              <w:r w:rsidRPr="008252E5">
                <w:rPr>
                  <w:rStyle w:val="Hyperlink"/>
                  <w:color w:val="4472C4" w:themeColor="accent1"/>
                </w:rPr>
                <w:t>guidance</w:t>
              </w:r>
            </w:hyperlink>
            <w:r w:rsidRPr="008252E5">
              <w:rPr>
                <w:rStyle w:val="Hyperlink"/>
                <w:color w:val="4472C4" w:themeColor="accent1"/>
              </w:rPr>
              <w:t xml:space="preserve"> </w:t>
            </w:r>
            <w:r w:rsidRPr="008252E5">
              <w:t>is available to help build awareness and to ensure compliance.</w:t>
            </w:r>
          </w:p>
          <w:p w14:paraId="447A7AC2" w14:textId="53E2EE25" w:rsidR="004D252E" w:rsidRPr="008252E5" w:rsidRDefault="004D252E" w:rsidP="00CA205F">
            <w:pPr>
              <w:pStyle w:val="BodyText"/>
              <w:spacing w:after="0"/>
              <w:rPr>
                <w:b/>
                <w:bCs/>
              </w:rPr>
            </w:pPr>
            <w:r w:rsidRPr="008252E5">
              <w:rPr>
                <w:b/>
                <w:bCs/>
              </w:rPr>
              <w:t>Nagoya Protocol:</w:t>
            </w:r>
          </w:p>
          <w:p w14:paraId="72B45B28" w14:textId="73270216" w:rsidR="0023237A" w:rsidRPr="008252E5" w:rsidRDefault="004D252E" w:rsidP="0023237A">
            <w:r w:rsidRPr="008252E5">
              <w:t>Each country has rights over the genetic resources that exist within their country such as animals, plants and organisms as well as the associated traditional knowledge. The </w:t>
            </w:r>
            <w:hyperlink r:id="rId30" w:history="1">
              <w:r w:rsidRPr="008252E5">
                <w:rPr>
                  <w:rStyle w:val="Hyperlink"/>
                  <w:color w:val="4472C4" w:themeColor="accent1"/>
                </w:rPr>
                <w:t>Nagoya Protocol on Access and Benefit Sharing</w:t>
              </w:r>
            </w:hyperlink>
            <w:r w:rsidRPr="008252E5">
              <w:rPr>
                <w:rStyle w:val="Hyperlink"/>
                <w:color w:val="4472C4" w:themeColor="accent1"/>
              </w:rPr>
              <w:t> </w:t>
            </w:r>
            <w:r w:rsidRPr="008252E5">
              <w:t xml:space="preserve">(ABS) is an international agreement establishing a legal framework to govern access to genetic material including the associated traditional knowledge, and ensure that benefits arising from the use of these resources are shared fairly. University </w:t>
            </w:r>
            <w:hyperlink r:id="rId31" w:anchor="steps-to-follow-417920-1" w:history="1">
              <w:r w:rsidRPr="008252E5">
                <w:rPr>
                  <w:rStyle w:val="Hyperlink"/>
                  <w:color w:val="4472C4" w:themeColor="accent1"/>
                </w:rPr>
                <w:t>guidance</w:t>
              </w:r>
            </w:hyperlink>
            <w:r w:rsidRPr="008252E5">
              <w:t xml:space="preserve"> is available to help researchers who source or use such material to exercise diligence to ensure that genetic resources and traditional knowledge associated with those resources have been accessed in accordance with applicable access and benefit sharing laws implemented by the source country.</w:t>
            </w:r>
          </w:p>
          <w:p w14:paraId="0C19FF0D" w14:textId="77777777" w:rsidR="0023237A" w:rsidRPr="008252E5" w:rsidRDefault="0023237A" w:rsidP="0023237A">
            <w:pPr>
              <w:spacing w:after="0"/>
            </w:pPr>
            <w:r w:rsidRPr="008252E5">
              <w:rPr>
                <w:b/>
                <w:bCs/>
              </w:rPr>
              <w:t>Open research</w:t>
            </w:r>
            <w:r w:rsidRPr="008252E5">
              <w:t>:</w:t>
            </w:r>
          </w:p>
          <w:p w14:paraId="1E77BDAD" w14:textId="5C5A5064" w:rsidR="0023237A" w:rsidRPr="008252E5" w:rsidRDefault="0023237A" w:rsidP="0023237A">
            <w:r w:rsidRPr="008252E5">
              <w:t xml:space="preserve">The Open Research team in the </w:t>
            </w:r>
            <w:proofErr w:type="gramStart"/>
            <w:r w:rsidRPr="008252E5">
              <w:t>Library</w:t>
            </w:r>
            <w:proofErr w:type="gramEnd"/>
            <w:r w:rsidRPr="008252E5">
              <w:t xml:space="preserve"> work with our research community to enable Open Research. They champion the notion that scholarly and scientific knowledge (and data) should be shared as early and freely as possible in the research process across all disciplines, both within and beyond academia. By aiding the development of open research skills and practices, we are working towards more reproducible, accessible and rigorous research at Lancaster. Oversight in this area is provided by our Open Research Group with membership including senior academic research leaders from all faculties, Research Services, and the </w:t>
            </w:r>
            <w:proofErr w:type="gramStart"/>
            <w:r w:rsidRPr="008252E5">
              <w:t>Library</w:t>
            </w:r>
            <w:proofErr w:type="gramEnd"/>
            <w:r w:rsidRPr="008252E5">
              <w:t>.</w:t>
            </w:r>
          </w:p>
          <w:p w14:paraId="10A59B48" w14:textId="002F11BC" w:rsidR="004D252E" w:rsidRPr="008252E5" w:rsidRDefault="004D252E" w:rsidP="00CA205F">
            <w:pPr>
              <w:pStyle w:val="BodyText"/>
              <w:spacing w:after="0"/>
              <w:rPr>
                <w:b/>
                <w:bCs/>
              </w:rPr>
            </w:pPr>
            <w:r w:rsidRPr="008252E5">
              <w:rPr>
                <w:b/>
                <w:bCs/>
              </w:rPr>
              <w:t xml:space="preserve">Other </w:t>
            </w:r>
            <w:r w:rsidR="005943F7" w:rsidRPr="008252E5">
              <w:rPr>
                <w:b/>
                <w:bCs/>
              </w:rPr>
              <w:t>p</w:t>
            </w:r>
            <w:r w:rsidRPr="008252E5">
              <w:rPr>
                <w:b/>
                <w:bCs/>
              </w:rPr>
              <w:t>olicies relating to research</w:t>
            </w:r>
            <w:r w:rsidR="00FF5F79" w:rsidRPr="008252E5">
              <w:rPr>
                <w:b/>
                <w:bCs/>
              </w:rPr>
              <w:t>:</w:t>
            </w:r>
          </w:p>
          <w:p w14:paraId="3C42E549" w14:textId="15DCE376" w:rsidR="004D252E" w:rsidRPr="008252E5" w:rsidRDefault="004D252E" w:rsidP="004D252E">
            <w:pPr>
              <w:rPr>
                <w:rFonts w:cstheme="minorHAnsi"/>
              </w:rPr>
            </w:pPr>
            <w:r w:rsidRPr="008252E5">
              <w:rPr>
                <w:rFonts w:cstheme="minorHAnsi"/>
              </w:rPr>
              <w:t>Other University policies and procedures impact on our approach to upholding the highest standards of research integrity</w:t>
            </w:r>
            <w:r w:rsidR="00B70DA1" w:rsidRPr="008252E5">
              <w:rPr>
                <w:rFonts w:cstheme="minorHAnsi"/>
              </w:rPr>
              <w:t xml:space="preserve"> </w:t>
            </w:r>
            <w:r w:rsidRPr="008252E5">
              <w:rPr>
                <w:rFonts w:cstheme="minorHAnsi"/>
              </w:rPr>
              <w:t xml:space="preserve">and individual responsibility and </w:t>
            </w:r>
            <w:r w:rsidRPr="008252E5">
              <w:rPr>
                <w:rFonts w:asciiTheme="majorHAnsi" w:hAnsiTheme="majorHAnsi" w:cstheme="majorHAnsi"/>
              </w:rPr>
              <w:t>accountability. These include:</w:t>
            </w:r>
          </w:p>
          <w:p w14:paraId="6D62E9F9" w14:textId="77777777"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Raising Serious Concerns and Disclosing Public Interest Matters (</w:t>
            </w:r>
            <w:hyperlink r:id="rId32" w:history="1">
              <w:r w:rsidRPr="008252E5">
                <w:rPr>
                  <w:rStyle w:val="Hyperlink"/>
                  <w:rFonts w:asciiTheme="majorHAnsi" w:eastAsia="Calibri Light" w:hAnsiTheme="majorHAnsi" w:cstheme="majorHAnsi"/>
                  <w:color w:val="4472C4" w:themeColor="accent1"/>
                  <w:sz w:val="24"/>
                  <w:szCs w:val="24"/>
                </w:rPr>
                <w:t>Whistleblowing</w:t>
              </w:r>
            </w:hyperlink>
            <w:r w:rsidRPr="008252E5">
              <w:rPr>
                <w:rFonts w:asciiTheme="majorHAnsi" w:hAnsiTheme="majorHAnsi" w:cstheme="majorHAnsi"/>
                <w:sz w:val="24"/>
                <w:szCs w:val="24"/>
              </w:rPr>
              <w:t xml:space="preserve">) </w:t>
            </w:r>
          </w:p>
          <w:p w14:paraId="06B6E81A" w14:textId="346C697D"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Misconduct in Research </w:t>
            </w:r>
            <w:hyperlink r:id="rId33" w:history="1">
              <w:r w:rsidR="00FB7952" w:rsidRPr="008252E5">
                <w:rPr>
                  <w:rStyle w:val="Hyperlink"/>
                  <w:rFonts w:asciiTheme="majorHAnsi" w:eastAsia="Calibri Light" w:hAnsiTheme="majorHAnsi" w:cstheme="majorHAnsi"/>
                  <w:color w:val="4472C4" w:themeColor="accent1"/>
                  <w:sz w:val="24"/>
                  <w:szCs w:val="24"/>
                </w:rPr>
                <w:t>Procedure</w:t>
              </w:r>
            </w:hyperlink>
          </w:p>
          <w:p w14:paraId="31F2DDA0" w14:textId="77777777"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Code of Practice on </w:t>
            </w:r>
            <w:hyperlink r:id="rId34" w:history="1">
              <w:r w:rsidRPr="008252E5">
                <w:rPr>
                  <w:rStyle w:val="Hyperlink"/>
                  <w:rFonts w:asciiTheme="majorHAnsi" w:eastAsia="Calibri Light" w:hAnsiTheme="majorHAnsi" w:cstheme="majorHAnsi"/>
                  <w:color w:val="4472C4" w:themeColor="accent1"/>
                  <w:sz w:val="24"/>
                  <w:szCs w:val="24"/>
                </w:rPr>
                <w:t>Freedom of Speech</w:t>
              </w:r>
            </w:hyperlink>
          </w:p>
          <w:p w14:paraId="4D2D1519" w14:textId="264AD68E"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Health and Safety </w:t>
            </w:r>
            <w:hyperlink r:id="rId35" w:history="1">
              <w:r w:rsidRPr="008252E5">
                <w:rPr>
                  <w:rStyle w:val="Hyperlink"/>
                  <w:rFonts w:asciiTheme="majorHAnsi" w:eastAsia="Calibri Light" w:hAnsiTheme="majorHAnsi" w:cstheme="majorHAnsi"/>
                  <w:color w:val="4472C4" w:themeColor="accent1"/>
                  <w:sz w:val="24"/>
                  <w:szCs w:val="24"/>
                </w:rPr>
                <w:t>Policy</w:t>
              </w:r>
            </w:hyperlink>
          </w:p>
          <w:p w14:paraId="558F2EFB" w14:textId="29C294BD" w:rsidR="004D252E" w:rsidRPr="008252E5" w:rsidRDefault="00873C46" w:rsidP="005943F7">
            <w:pPr>
              <w:pStyle w:val="ListParagraph"/>
              <w:numPr>
                <w:ilvl w:val="0"/>
                <w:numId w:val="14"/>
              </w:numPr>
              <w:rPr>
                <w:rFonts w:asciiTheme="majorHAnsi" w:hAnsiTheme="majorHAnsi" w:cstheme="majorHAnsi"/>
                <w:sz w:val="24"/>
                <w:szCs w:val="24"/>
              </w:rPr>
            </w:pPr>
            <w:hyperlink r:id="rId36" w:history="1">
              <w:r w:rsidR="004D252E" w:rsidRPr="008252E5">
                <w:rPr>
                  <w:rStyle w:val="Hyperlink"/>
                  <w:rFonts w:asciiTheme="majorHAnsi" w:eastAsia="Calibri Light" w:hAnsiTheme="majorHAnsi" w:cstheme="majorHAnsi"/>
                  <w:color w:val="4472C4" w:themeColor="accent1"/>
                  <w:sz w:val="24"/>
                  <w:szCs w:val="24"/>
                </w:rPr>
                <w:t>Safeguarding in Research</w:t>
              </w:r>
            </w:hyperlink>
            <w:r w:rsidR="004D252E" w:rsidRPr="008252E5">
              <w:rPr>
                <w:rFonts w:asciiTheme="majorHAnsi" w:hAnsiTheme="majorHAnsi" w:cstheme="majorHAnsi"/>
                <w:sz w:val="24"/>
                <w:szCs w:val="24"/>
              </w:rPr>
              <w:t xml:space="preserve"> </w:t>
            </w:r>
            <w:r w:rsidR="004D252E" w:rsidRPr="008252E5">
              <w:rPr>
                <w:rFonts w:asciiTheme="majorHAnsi" w:eastAsia="Calibri Light" w:hAnsiTheme="majorHAnsi" w:cstheme="majorHAnsi"/>
                <w:sz w:val="24"/>
                <w:szCs w:val="24"/>
              </w:rPr>
              <w:t>Statement</w:t>
            </w:r>
            <w:r w:rsidR="004D252E" w:rsidRPr="008252E5">
              <w:rPr>
                <w:rFonts w:asciiTheme="majorHAnsi" w:hAnsiTheme="majorHAnsi" w:cstheme="majorHAnsi"/>
                <w:sz w:val="24"/>
                <w:szCs w:val="24"/>
              </w:rPr>
              <w:t xml:space="preserve"> and </w:t>
            </w:r>
            <w:r w:rsidR="004D252E" w:rsidRPr="008252E5">
              <w:rPr>
                <w:rFonts w:asciiTheme="majorHAnsi" w:eastAsia="Calibri Light" w:hAnsiTheme="majorHAnsi" w:cstheme="majorHAnsi"/>
                <w:sz w:val="24"/>
                <w:szCs w:val="24"/>
              </w:rPr>
              <w:t>Policy</w:t>
            </w:r>
          </w:p>
          <w:p w14:paraId="710A3749" w14:textId="77777777"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Bullying, Harassment and Sexual Misconduct (BHSM) </w:t>
            </w:r>
            <w:hyperlink r:id="rId37" w:history="1">
              <w:r w:rsidRPr="008252E5">
                <w:rPr>
                  <w:rStyle w:val="Hyperlink"/>
                  <w:rFonts w:asciiTheme="majorHAnsi" w:eastAsia="Calibri Light" w:hAnsiTheme="majorHAnsi" w:cstheme="majorHAnsi"/>
                  <w:color w:val="4472C4" w:themeColor="accent1"/>
                  <w:sz w:val="24"/>
                  <w:szCs w:val="24"/>
                </w:rPr>
                <w:t>Policy</w:t>
              </w:r>
            </w:hyperlink>
          </w:p>
          <w:p w14:paraId="2FF7DF23" w14:textId="77777777" w:rsidR="004D252E" w:rsidRPr="008252E5" w:rsidRDefault="00873C46" w:rsidP="005943F7">
            <w:pPr>
              <w:pStyle w:val="ListParagraph"/>
              <w:numPr>
                <w:ilvl w:val="0"/>
                <w:numId w:val="14"/>
              </w:numPr>
              <w:rPr>
                <w:rFonts w:asciiTheme="majorHAnsi" w:hAnsiTheme="majorHAnsi" w:cstheme="majorHAnsi"/>
                <w:sz w:val="24"/>
                <w:szCs w:val="24"/>
              </w:rPr>
            </w:pPr>
            <w:hyperlink r:id="rId38" w:history="1">
              <w:r w:rsidR="004D252E" w:rsidRPr="008252E5">
                <w:rPr>
                  <w:rStyle w:val="Hyperlink"/>
                  <w:rFonts w:asciiTheme="majorHAnsi" w:eastAsia="Calibri Light" w:hAnsiTheme="majorHAnsi" w:cstheme="majorHAnsi"/>
                  <w:color w:val="4472C4" w:themeColor="accent1"/>
                  <w:sz w:val="24"/>
                  <w:szCs w:val="24"/>
                </w:rPr>
                <w:t>Financial Regulations</w:t>
              </w:r>
            </w:hyperlink>
          </w:p>
          <w:p w14:paraId="5337FFAE" w14:textId="77777777"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Anti-bribery and Corruption </w:t>
            </w:r>
            <w:hyperlink r:id="rId39" w:history="1">
              <w:r w:rsidRPr="008252E5">
                <w:rPr>
                  <w:rStyle w:val="Hyperlink"/>
                  <w:rFonts w:asciiTheme="majorHAnsi" w:eastAsia="Calibri Light" w:hAnsiTheme="majorHAnsi" w:cstheme="majorHAnsi"/>
                  <w:color w:val="4472C4" w:themeColor="accent1"/>
                  <w:sz w:val="24"/>
                  <w:szCs w:val="24"/>
                </w:rPr>
                <w:t>Policy</w:t>
              </w:r>
            </w:hyperlink>
          </w:p>
          <w:p w14:paraId="2658985E" w14:textId="77777777"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Rules Governing </w:t>
            </w:r>
            <w:hyperlink r:id="rId40" w:tgtFrame="_blank" w:history="1">
              <w:r w:rsidRPr="008252E5">
                <w:rPr>
                  <w:rStyle w:val="Hyperlink"/>
                  <w:rFonts w:asciiTheme="majorHAnsi" w:eastAsia="Calibri Light" w:hAnsiTheme="majorHAnsi" w:cstheme="majorHAnsi"/>
                  <w:color w:val="4472C4" w:themeColor="accent1"/>
                  <w:sz w:val="24"/>
                  <w:szCs w:val="24"/>
                </w:rPr>
                <w:t>Outside Professional Activities</w:t>
              </w:r>
            </w:hyperlink>
            <w:r w:rsidRPr="008252E5">
              <w:rPr>
                <w:rStyle w:val="Hyperlink"/>
                <w:rFonts w:asciiTheme="majorHAnsi" w:eastAsia="Calibri Light" w:hAnsiTheme="majorHAnsi" w:cstheme="majorHAnsi"/>
                <w:color w:val="4472C4" w:themeColor="accent1"/>
                <w:sz w:val="24"/>
                <w:szCs w:val="24"/>
              </w:rPr>
              <w:t> </w:t>
            </w:r>
          </w:p>
          <w:p w14:paraId="2FDA260A" w14:textId="77777777" w:rsidR="004D252E" w:rsidRPr="008252E5" w:rsidRDefault="004D252E" w:rsidP="005943F7">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Intellectual Property </w:t>
            </w:r>
            <w:hyperlink r:id="rId41" w:history="1">
              <w:r w:rsidRPr="008252E5">
                <w:rPr>
                  <w:rStyle w:val="Hyperlink"/>
                  <w:rFonts w:asciiTheme="majorHAnsi" w:eastAsia="Calibri Light" w:hAnsiTheme="majorHAnsi" w:cstheme="majorHAnsi"/>
                  <w:color w:val="4472C4" w:themeColor="accent1"/>
                  <w:sz w:val="24"/>
                  <w:szCs w:val="24"/>
                </w:rPr>
                <w:t>Policy</w:t>
              </w:r>
            </w:hyperlink>
            <w:r w:rsidRPr="008252E5">
              <w:rPr>
                <w:rFonts w:asciiTheme="majorHAnsi" w:hAnsiTheme="majorHAnsi" w:cstheme="majorHAnsi"/>
                <w:sz w:val="24"/>
                <w:szCs w:val="24"/>
              </w:rPr>
              <w:t xml:space="preserve"> and Support</w:t>
            </w:r>
          </w:p>
          <w:p w14:paraId="5EF229F1" w14:textId="77777777" w:rsidR="004D252E" w:rsidRPr="008252E5" w:rsidRDefault="00873C46" w:rsidP="005943F7">
            <w:pPr>
              <w:pStyle w:val="ListParagraph"/>
              <w:numPr>
                <w:ilvl w:val="0"/>
                <w:numId w:val="14"/>
              </w:numPr>
              <w:rPr>
                <w:rFonts w:asciiTheme="majorHAnsi" w:hAnsiTheme="majorHAnsi" w:cstheme="majorHAnsi"/>
                <w:sz w:val="24"/>
                <w:szCs w:val="24"/>
              </w:rPr>
            </w:pPr>
            <w:hyperlink r:id="rId42" w:history="1">
              <w:r w:rsidR="004D252E" w:rsidRPr="008252E5">
                <w:rPr>
                  <w:rStyle w:val="Hyperlink"/>
                  <w:rFonts w:asciiTheme="majorHAnsi" w:eastAsia="Calibri Light" w:hAnsiTheme="majorHAnsi" w:cstheme="majorHAnsi"/>
                  <w:color w:val="4472C4" w:themeColor="accent1"/>
                  <w:sz w:val="24"/>
                  <w:szCs w:val="24"/>
                </w:rPr>
                <w:t>Equality, Diversity and Inclusion</w:t>
              </w:r>
            </w:hyperlink>
            <w:r w:rsidR="004D252E" w:rsidRPr="008252E5">
              <w:rPr>
                <w:rFonts w:asciiTheme="majorHAnsi" w:hAnsiTheme="majorHAnsi" w:cstheme="majorHAnsi"/>
                <w:sz w:val="24"/>
                <w:szCs w:val="24"/>
              </w:rPr>
              <w:t xml:space="preserve"> </w:t>
            </w:r>
          </w:p>
          <w:p w14:paraId="0B3FFA5D" w14:textId="77777777" w:rsidR="004D252E" w:rsidRPr="008252E5" w:rsidRDefault="00873C46" w:rsidP="005943F7">
            <w:pPr>
              <w:pStyle w:val="ListParagraph"/>
              <w:numPr>
                <w:ilvl w:val="0"/>
                <w:numId w:val="14"/>
              </w:numPr>
              <w:rPr>
                <w:rFonts w:asciiTheme="majorHAnsi" w:hAnsiTheme="majorHAnsi" w:cstheme="majorHAnsi"/>
                <w:sz w:val="24"/>
                <w:szCs w:val="24"/>
              </w:rPr>
            </w:pPr>
            <w:hyperlink r:id="rId43" w:history="1">
              <w:r w:rsidR="004D252E" w:rsidRPr="008252E5">
                <w:rPr>
                  <w:rStyle w:val="Hyperlink"/>
                  <w:rFonts w:asciiTheme="majorHAnsi" w:eastAsia="Calibri Light" w:hAnsiTheme="majorHAnsi" w:cstheme="majorHAnsi"/>
                  <w:color w:val="4472C4" w:themeColor="accent1"/>
                  <w:sz w:val="24"/>
                  <w:szCs w:val="24"/>
                </w:rPr>
                <w:t>Sustainability</w:t>
              </w:r>
            </w:hyperlink>
          </w:p>
          <w:p w14:paraId="30748645" w14:textId="77777777" w:rsidR="004D252E" w:rsidRPr="008252E5" w:rsidRDefault="00873C46" w:rsidP="005943F7">
            <w:pPr>
              <w:pStyle w:val="ListParagraph"/>
              <w:numPr>
                <w:ilvl w:val="0"/>
                <w:numId w:val="14"/>
              </w:numPr>
              <w:rPr>
                <w:rFonts w:asciiTheme="majorHAnsi" w:hAnsiTheme="majorHAnsi" w:cstheme="majorHAnsi"/>
                <w:sz w:val="24"/>
                <w:szCs w:val="24"/>
              </w:rPr>
            </w:pPr>
            <w:hyperlink r:id="rId44" w:history="1">
              <w:r w:rsidR="004D252E" w:rsidRPr="008252E5">
                <w:rPr>
                  <w:rStyle w:val="Hyperlink"/>
                  <w:rFonts w:asciiTheme="majorHAnsi" w:eastAsia="Calibri Light" w:hAnsiTheme="majorHAnsi" w:cstheme="majorHAnsi"/>
                  <w:color w:val="4472C4" w:themeColor="accent1"/>
                  <w:sz w:val="24"/>
                  <w:szCs w:val="24"/>
                </w:rPr>
                <w:t>Research Data Policy</w:t>
              </w:r>
            </w:hyperlink>
            <w:r w:rsidR="004D252E" w:rsidRPr="008252E5">
              <w:rPr>
                <w:rFonts w:asciiTheme="majorHAnsi" w:hAnsiTheme="majorHAnsi" w:cstheme="majorHAnsi"/>
                <w:sz w:val="24"/>
                <w:szCs w:val="24"/>
              </w:rPr>
              <w:t xml:space="preserve"> and </w:t>
            </w:r>
            <w:hyperlink r:id="rId45" w:history="1">
              <w:r w:rsidR="004D252E" w:rsidRPr="008252E5">
                <w:rPr>
                  <w:rStyle w:val="Hyperlink"/>
                  <w:rFonts w:asciiTheme="majorHAnsi" w:eastAsia="Calibri Light" w:hAnsiTheme="majorHAnsi" w:cstheme="majorHAnsi"/>
                  <w:color w:val="4472C4" w:themeColor="accent1"/>
                  <w:sz w:val="24"/>
                  <w:szCs w:val="24"/>
                </w:rPr>
                <w:t>Data Protection</w:t>
              </w:r>
            </w:hyperlink>
          </w:p>
          <w:p w14:paraId="014FDFA9" w14:textId="77777777" w:rsidR="004D252E" w:rsidRPr="008252E5" w:rsidRDefault="004D252E" w:rsidP="00417D87">
            <w:pPr>
              <w:spacing w:after="0"/>
              <w:rPr>
                <w:rFonts w:cstheme="minorHAnsi"/>
              </w:rPr>
            </w:pPr>
          </w:p>
          <w:p w14:paraId="35ACCD03" w14:textId="15F4490A" w:rsidR="00756023" w:rsidRPr="008252E5" w:rsidRDefault="004D252E" w:rsidP="005E6A8B">
            <w:r w:rsidRPr="008252E5">
              <w:t xml:space="preserve">A full list of all University policies and procedures can be found </w:t>
            </w:r>
            <w:hyperlink r:id="rId46" w:history="1">
              <w:r w:rsidRPr="008252E5">
                <w:rPr>
                  <w:rStyle w:val="Hyperlink"/>
                  <w:rFonts w:asciiTheme="majorHAnsi" w:hAnsiTheme="majorHAnsi" w:cstheme="majorHAnsi"/>
                  <w:color w:val="4472C4" w:themeColor="accent1"/>
                </w:rPr>
                <w:t>here</w:t>
              </w:r>
            </w:hyperlink>
            <w:r w:rsidRPr="008252E5">
              <w:t>.</w:t>
            </w:r>
          </w:p>
        </w:tc>
      </w:tr>
    </w:tbl>
    <w:p w14:paraId="14783FF2" w14:textId="77777777" w:rsidR="008724E6" w:rsidRPr="008252E5" w:rsidRDefault="008724E6" w:rsidP="00205E80">
      <w:pPr>
        <w:pStyle w:val="BodyText"/>
        <w:spacing w:after="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73C98" w:rsidRPr="008252E5" w14:paraId="067F77A5" w14:textId="77777777" w:rsidTr="001B1C08">
        <w:tc>
          <w:tcPr>
            <w:tcW w:w="9493" w:type="dxa"/>
            <w:shd w:val="clear" w:color="auto" w:fill="auto"/>
          </w:tcPr>
          <w:p w14:paraId="1AA9FDEF" w14:textId="25AFD2EA" w:rsidR="00073C98" w:rsidRPr="008252E5" w:rsidRDefault="00073C98" w:rsidP="000848B5">
            <w:pPr>
              <w:pStyle w:val="BodyText"/>
              <w:spacing w:after="360"/>
              <w:rPr>
                <w:rFonts w:ascii="Calibri" w:hAnsi="Calibri"/>
                <w:b/>
              </w:rPr>
            </w:pPr>
            <w:r w:rsidRPr="008252E5">
              <w:rPr>
                <w:rStyle w:val="HighlightBold"/>
              </w:rPr>
              <w:lastRenderedPageBreak/>
              <w:t>2B</w:t>
            </w:r>
            <w:r w:rsidR="009D7816" w:rsidRPr="008252E5">
              <w:rPr>
                <w:rStyle w:val="HighlightBold"/>
              </w:rPr>
              <w:t>.</w:t>
            </w:r>
            <w:r w:rsidRPr="008252E5">
              <w:rPr>
                <w:rStyle w:val="HighlightBold"/>
              </w:rPr>
              <w:t xml:space="preserve"> Changes and developments during the period under review</w:t>
            </w:r>
          </w:p>
        </w:tc>
      </w:tr>
      <w:tr w:rsidR="00073C98" w:rsidRPr="008252E5" w14:paraId="02FB4C3F" w14:textId="77777777" w:rsidTr="001B1C08">
        <w:tc>
          <w:tcPr>
            <w:tcW w:w="9493" w:type="dxa"/>
            <w:shd w:val="clear" w:color="auto" w:fill="auto"/>
          </w:tcPr>
          <w:p w14:paraId="1E32781D" w14:textId="0B996373" w:rsidR="00073C98" w:rsidRPr="008252E5" w:rsidRDefault="00992059" w:rsidP="00992059">
            <w:pPr>
              <w:pStyle w:val="BodyText"/>
              <w:spacing w:after="0"/>
              <w:rPr>
                <w:b/>
                <w:bCs/>
              </w:rPr>
            </w:pPr>
            <w:r w:rsidRPr="008252E5">
              <w:rPr>
                <w:b/>
                <w:bCs/>
              </w:rPr>
              <w:t>University committees</w:t>
            </w:r>
            <w:r w:rsidR="001D3164" w:rsidRPr="008252E5">
              <w:rPr>
                <w:b/>
                <w:bCs/>
              </w:rPr>
              <w:t>:</w:t>
            </w:r>
          </w:p>
          <w:p w14:paraId="06A620F4" w14:textId="42F3E2A0" w:rsidR="00756023" w:rsidRPr="008252E5" w:rsidRDefault="00F15470" w:rsidP="00756023">
            <w:r w:rsidRPr="008252E5">
              <w:t>In 2021-22 the University’s Research Ethics Committee’s</w:t>
            </w:r>
            <w:r w:rsidR="00756023" w:rsidRPr="008252E5">
              <w:t xml:space="preserve"> terms of reference </w:t>
            </w:r>
            <w:r w:rsidR="00144EE8" w:rsidRPr="008252E5">
              <w:t xml:space="preserve">was expanded </w:t>
            </w:r>
            <w:r w:rsidR="00756023" w:rsidRPr="008252E5">
              <w:t xml:space="preserve">to include oversight of all research integrity issues </w:t>
            </w:r>
            <w:r w:rsidRPr="008252E5">
              <w:t xml:space="preserve">and </w:t>
            </w:r>
            <w:r w:rsidR="00756023" w:rsidRPr="008252E5">
              <w:t xml:space="preserve">the </w:t>
            </w:r>
            <w:r w:rsidR="00A97AA8" w:rsidRPr="008252E5">
              <w:t>group</w:t>
            </w:r>
            <w:r w:rsidR="00144EE8" w:rsidRPr="008252E5">
              <w:t xml:space="preserve"> renamed</w:t>
            </w:r>
            <w:r w:rsidR="00A97AA8" w:rsidRPr="008252E5">
              <w:t xml:space="preserve"> to </w:t>
            </w:r>
            <w:r w:rsidR="00756023" w:rsidRPr="008252E5">
              <w:t>University Research Ethics and Integrity Committee</w:t>
            </w:r>
            <w:r w:rsidR="00A97AA8" w:rsidRPr="008252E5">
              <w:t xml:space="preserve"> (UREIC)</w:t>
            </w:r>
            <w:r w:rsidR="00756023" w:rsidRPr="008252E5">
              <w:t xml:space="preserve">. This expansion was made to further strengthen our research integrity culture and to give single committee oversight of ethics, research misconduct, information governance and meeting the Concordat commitments. </w:t>
            </w:r>
            <w:r w:rsidR="00A97AA8" w:rsidRPr="008252E5">
              <w:t xml:space="preserve">UREIC </w:t>
            </w:r>
            <w:r w:rsidR="00D67635" w:rsidRPr="008252E5">
              <w:t xml:space="preserve">met </w:t>
            </w:r>
            <w:r w:rsidR="00A97AA8" w:rsidRPr="008252E5">
              <w:t>for the first time</w:t>
            </w:r>
            <w:r w:rsidR="00D67635" w:rsidRPr="008252E5">
              <w:t xml:space="preserve"> in October 2022</w:t>
            </w:r>
            <w:r w:rsidR="00A97AA8" w:rsidRPr="008252E5">
              <w:t xml:space="preserve">, and throughout 2022-23, and has an </w:t>
            </w:r>
            <w:r w:rsidR="00AD1CF7" w:rsidRPr="008252E5">
              <w:t>extended</w:t>
            </w:r>
            <w:r w:rsidR="00A97AA8" w:rsidRPr="008252E5">
              <w:t xml:space="preserve"> membership to provide appropriate oversight for </w:t>
            </w:r>
            <w:r w:rsidR="00AD0099" w:rsidRPr="008252E5">
              <w:t>its</w:t>
            </w:r>
            <w:r w:rsidR="00A97AA8" w:rsidRPr="008252E5">
              <w:t xml:space="preserve"> expanded responsibilitie</w:t>
            </w:r>
            <w:r w:rsidR="00E75949" w:rsidRPr="008252E5">
              <w:t>s as delegated from and annually reported back to the University’s Research Committee.</w:t>
            </w:r>
          </w:p>
          <w:p w14:paraId="647B2EF8" w14:textId="63C53492" w:rsidR="00B2045E" w:rsidRPr="008252E5" w:rsidRDefault="00886318" w:rsidP="00B2045E">
            <w:r w:rsidRPr="008252E5">
              <w:t>In</w:t>
            </w:r>
            <w:r w:rsidR="000D3115" w:rsidRPr="008252E5">
              <w:t xml:space="preserve"> November</w:t>
            </w:r>
            <w:r w:rsidRPr="008252E5">
              <w:t xml:space="preserve"> 2022 University Research Committee approved the reconstitution of the Clinical Trials Sponsorship Committee to become the Clinical Research Sponsorship Committee</w:t>
            </w:r>
            <w:r w:rsidR="00FB1AD3" w:rsidRPr="008252E5">
              <w:t xml:space="preserve"> </w:t>
            </w:r>
            <w:r w:rsidRPr="008252E5">
              <w:t xml:space="preserve">and to expand its remit to include oversight of all research that falls within the remit of the UK Policy Framework for Health and Social Care Research. </w:t>
            </w:r>
            <w:r w:rsidR="00B2045E" w:rsidRPr="008252E5">
              <w:t xml:space="preserve">This is achieved by assessing and approving sponsorship of relevant research projects and providing subsequent oversight of sponsored projects on behalf of the university. In addition, the </w:t>
            </w:r>
            <w:r w:rsidR="00A4288A" w:rsidRPr="008252E5">
              <w:t>committee</w:t>
            </w:r>
            <w:r w:rsidR="00B2045E" w:rsidRPr="008252E5">
              <w:t xml:space="preserve"> will foster and develop a culture of good clinical research practice within our research community. </w:t>
            </w:r>
            <w:r w:rsidR="00A4288A" w:rsidRPr="008252E5">
              <w:t xml:space="preserve">Following the first meeting of this committee in 2022/23 it was agreed to update the name to </w:t>
            </w:r>
            <w:r w:rsidR="00491677" w:rsidRPr="008252E5">
              <w:t xml:space="preserve">the Health and Social Care Research Sponsorship Committee </w:t>
            </w:r>
            <w:r w:rsidR="00B54536" w:rsidRPr="008252E5">
              <w:t xml:space="preserve">(hereafter Sponsorship Committee) </w:t>
            </w:r>
            <w:r w:rsidR="00491677" w:rsidRPr="008252E5">
              <w:t xml:space="preserve">to better reflect </w:t>
            </w:r>
            <w:r w:rsidR="00B54536" w:rsidRPr="008252E5">
              <w:t>its</w:t>
            </w:r>
            <w:r w:rsidR="00491677" w:rsidRPr="008252E5">
              <w:t xml:space="preserve"> terms of reference. </w:t>
            </w:r>
          </w:p>
          <w:p w14:paraId="238430FE" w14:textId="1688F312" w:rsidR="00886318" w:rsidRPr="008252E5" w:rsidRDefault="00A60694" w:rsidP="00EB4396">
            <w:pPr>
              <w:pStyle w:val="BodyText"/>
              <w:spacing w:after="0"/>
              <w:rPr>
                <w:b/>
                <w:bCs/>
              </w:rPr>
            </w:pPr>
            <w:r w:rsidRPr="008252E5">
              <w:rPr>
                <w:b/>
                <w:bCs/>
              </w:rPr>
              <w:t>Digital</w:t>
            </w:r>
            <w:r w:rsidR="00EB4396" w:rsidRPr="008252E5">
              <w:rPr>
                <w:b/>
                <w:bCs/>
              </w:rPr>
              <w:t xml:space="preserve"> ethics</w:t>
            </w:r>
            <w:r w:rsidRPr="008252E5">
              <w:rPr>
                <w:b/>
                <w:bCs/>
              </w:rPr>
              <w:t xml:space="preserve"> </w:t>
            </w:r>
            <w:r w:rsidR="00EB4396" w:rsidRPr="008252E5">
              <w:rPr>
                <w:b/>
                <w:bCs/>
              </w:rPr>
              <w:t>approvals</w:t>
            </w:r>
            <w:r w:rsidR="001D3164" w:rsidRPr="008252E5">
              <w:rPr>
                <w:b/>
                <w:bCs/>
              </w:rPr>
              <w:t>:</w:t>
            </w:r>
          </w:p>
          <w:p w14:paraId="2B917637" w14:textId="074431EC" w:rsidR="00EB4396" w:rsidRPr="008252E5" w:rsidRDefault="00EB4396" w:rsidP="00886318">
            <w:r w:rsidRPr="008252E5">
              <w:t>A digital research ethical approval management system (REAMS) was launche</w:t>
            </w:r>
            <w:r w:rsidR="00BE0C07" w:rsidRPr="008252E5">
              <w:t>d across the university</w:t>
            </w:r>
            <w:r w:rsidRPr="008252E5">
              <w:t xml:space="preserve"> in November 2021. This introduced a new process allowing applicants to self-review projects that are deemed as minimal risk</w:t>
            </w:r>
            <w:r w:rsidR="003577EB" w:rsidRPr="008252E5">
              <w:t xml:space="preserve"> following criteria agreed at UREIC</w:t>
            </w:r>
            <w:r w:rsidRPr="008252E5">
              <w:t>.</w:t>
            </w:r>
            <w:r w:rsidR="00221311" w:rsidRPr="008252E5">
              <w:t xml:space="preserve"> This</w:t>
            </w:r>
            <w:r w:rsidR="00A97B12" w:rsidRPr="008252E5">
              <w:t xml:space="preserve"> self-review is</w:t>
            </w:r>
            <w:r w:rsidR="00221311" w:rsidRPr="008252E5">
              <w:t xml:space="preserve"> </w:t>
            </w:r>
            <w:r w:rsidR="004F25A0" w:rsidRPr="008252E5">
              <w:t xml:space="preserve">conducted via a series of </w:t>
            </w:r>
            <w:r w:rsidR="00C002B1" w:rsidRPr="008252E5">
              <w:t>“</w:t>
            </w:r>
            <w:r w:rsidR="004F25A0" w:rsidRPr="008252E5">
              <w:t>yes/no/unsure</w:t>
            </w:r>
            <w:r w:rsidR="00C002B1" w:rsidRPr="008252E5">
              <w:t>”</w:t>
            </w:r>
            <w:r w:rsidR="004F25A0" w:rsidRPr="008252E5">
              <w:t xml:space="preserve"> questions at the start of a REAMS application, if the</w:t>
            </w:r>
            <w:r w:rsidR="005A3449" w:rsidRPr="008252E5">
              <w:t xml:space="preserve"> appropriate answer (yes or no) is given then the project </w:t>
            </w:r>
            <w:r w:rsidR="00875717" w:rsidRPr="008252E5">
              <w:t>does not need FREC review</w:t>
            </w:r>
            <w:r w:rsidR="003C3C7E" w:rsidRPr="008252E5">
              <w:t xml:space="preserve">. A FREC review is triggered by an answer that requires </w:t>
            </w:r>
            <w:r w:rsidR="002B19CD" w:rsidRPr="008252E5">
              <w:t>a more detailed answer</w:t>
            </w:r>
            <w:r w:rsidR="003C3C7E" w:rsidRPr="008252E5">
              <w:t xml:space="preserve"> </w:t>
            </w:r>
            <w:r w:rsidR="003577EB" w:rsidRPr="008252E5">
              <w:t>or any “unsure” answers</w:t>
            </w:r>
            <w:r w:rsidR="00875717" w:rsidRPr="008252E5">
              <w:t>.</w:t>
            </w:r>
            <w:r w:rsidR="005A3449" w:rsidRPr="008252E5">
              <w:t xml:space="preserve"> </w:t>
            </w:r>
            <w:r w:rsidR="004F25A0" w:rsidRPr="008252E5">
              <w:t xml:space="preserve"> </w:t>
            </w:r>
            <w:r w:rsidRPr="008252E5">
              <w:t xml:space="preserve"> Each application reviewed in this way was checked throughout the year</w:t>
            </w:r>
            <w:r w:rsidR="00253169" w:rsidRPr="008252E5">
              <w:t xml:space="preserve"> by the Research Ethics Officers</w:t>
            </w:r>
            <w:r w:rsidRPr="008252E5">
              <w:t xml:space="preserve"> to ensure the use of this new process was appropriate</w:t>
            </w:r>
            <w:r w:rsidR="009B458A" w:rsidRPr="008252E5">
              <w:t>. A</w:t>
            </w:r>
            <w:r w:rsidR="00CF65CA" w:rsidRPr="008252E5">
              <w:t>ny queries were directed to the relevant FREC</w:t>
            </w:r>
            <w:r w:rsidR="009B458A" w:rsidRPr="008252E5">
              <w:t xml:space="preserve"> Chair</w:t>
            </w:r>
            <w:r w:rsidR="00CF65CA" w:rsidRPr="008252E5">
              <w:t xml:space="preserve"> for confirmation or referral to the full</w:t>
            </w:r>
            <w:r w:rsidR="006B25E7" w:rsidRPr="008252E5">
              <w:t xml:space="preserve"> review</w:t>
            </w:r>
            <w:r w:rsidR="00CF65CA" w:rsidRPr="008252E5">
              <w:t xml:space="preserve"> process</w:t>
            </w:r>
            <w:r w:rsidRPr="008252E5">
              <w:t xml:space="preserve">. REAMS is designed to reduce administrative load for applicants, academic reviewers and professional services </w:t>
            </w:r>
            <w:proofErr w:type="gramStart"/>
            <w:r w:rsidRPr="008252E5">
              <w:t>staff;</w:t>
            </w:r>
            <w:proofErr w:type="gramEnd"/>
            <w:r w:rsidRPr="008252E5">
              <w:t xml:space="preserve"> saving valuable time whilst enhancing the experience for the community to further foster an environment of excellent research integrity. A user survey and system review </w:t>
            </w:r>
            <w:r w:rsidR="00E8573C" w:rsidRPr="008252E5">
              <w:t>took place</w:t>
            </w:r>
            <w:r w:rsidRPr="008252E5">
              <w:t xml:space="preserve"> during 2022/23 to identify areas of improvement</w:t>
            </w:r>
            <w:r w:rsidR="00B36AA3" w:rsidRPr="008252E5">
              <w:t xml:space="preserve"> following a full year</w:t>
            </w:r>
            <w:r w:rsidR="00843D40" w:rsidRPr="008252E5">
              <w:t xml:space="preserve"> in use</w:t>
            </w:r>
            <w:r w:rsidRPr="008252E5">
              <w:t>.</w:t>
            </w:r>
            <w:r w:rsidR="00E8573C" w:rsidRPr="008252E5">
              <w:t xml:space="preserve"> </w:t>
            </w:r>
          </w:p>
          <w:p w14:paraId="6FB0126A" w14:textId="1EE1A72C" w:rsidR="001376A0" w:rsidRPr="008252E5" w:rsidRDefault="001376A0" w:rsidP="00011541">
            <w:pPr>
              <w:pStyle w:val="BodyText"/>
              <w:spacing w:after="0"/>
              <w:rPr>
                <w:b/>
                <w:bCs/>
              </w:rPr>
            </w:pPr>
            <w:r w:rsidRPr="008252E5">
              <w:rPr>
                <w:b/>
                <w:bCs/>
              </w:rPr>
              <w:t>Sponsorship approvals</w:t>
            </w:r>
            <w:r w:rsidR="001D3164" w:rsidRPr="008252E5">
              <w:rPr>
                <w:b/>
                <w:bCs/>
              </w:rPr>
              <w:t>:</w:t>
            </w:r>
          </w:p>
          <w:p w14:paraId="038E2FD7" w14:textId="376196D2" w:rsidR="00055861" w:rsidRPr="008252E5" w:rsidRDefault="00011541" w:rsidP="00886318">
            <w:r w:rsidRPr="008252E5">
              <w:t xml:space="preserve">The </w:t>
            </w:r>
            <w:r w:rsidR="009515DC" w:rsidRPr="008252E5">
              <w:t xml:space="preserve">Sponsorship Committee </w:t>
            </w:r>
            <w:r w:rsidRPr="008252E5">
              <w:t xml:space="preserve">is now </w:t>
            </w:r>
            <w:r w:rsidR="0031420E" w:rsidRPr="008252E5">
              <w:t xml:space="preserve">the approval </w:t>
            </w:r>
            <w:r w:rsidR="00E67569" w:rsidRPr="008252E5">
              <w:t>route</w:t>
            </w:r>
            <w:r w:rsidR="0031420E" w:rsidRPr="008252E5">
              <w:t xml:space="preserve"> for </w:t>
            </w:r>
            <w:r w:rsidR="00FD2BC4" w:rsidRPr="008252E5">
              <w:t>university</w:t>
            </w:r>
            <w:r w:rsidR="0031420E" w:rsidRPr="008252E5">
              <w:t xml:space="preserve"> sponsorship</w:t>
            </w:r>
            <w:r w:rsidR="003C6F38" w:rsidRPr="008252E5">
              <w:t xml:space="preserve"> of clinical projects working with the NHS</w:t>
            </w:r>
            <w:r w:rsidR="0031420E" w:rsidRPr="008252E5">
              <w:t xml:space="preserve">, previously this was done via FREC Chairs and Research and Enterprise Services. </w:t>
            </w:r>
            <w:r w:rsidR="00E67569" w:rsidRPr="008252E5">
              <w:t>Throughout 2022-23</w:t>
            </w:r>
            <w:r w:rsidR="00EC232D" w:rsidRPr="008252E5">
              <w:t>,</w:t>
            </w:r>
            <w:r w:rsidR="00E67569" w:rsidRPr="008252E5">
              <w:t xml:space="preserve"> a proportional review </w:t>
            </w:r>
            <w:r w:rsidR="00574E08" w:rsidRPr="008252E5">
              <w:t xml:space="preserve">has been </w:t>
            </w:r>
            <w:r w:rsidR="00926D13" w:rsidRPr="008252E5">
              <w:t xml:space="preserve">developed and </w:t>
            </w:r>
            <w:r w:rsidR="00574E08" w:rsidRPr="008252E5">
              <w:t xml:space="preserve">tested so that the </w:t>
            </w:r>
            <w:r w:rsidR="00713FDD" w:rsidRPr="008252E5">
              <w:t xml:space="preserve">potential </w:t>
            </w:r>
            <w:r w:rsidR="00574E08" w:rsidRPr="008252E5">
              <w:t xml:space="preserve">risk level of the project determines the scrutiny that each application undergoes. </w:t>
            </w:r>
            <w:r w:rsidR="006E1F89" w:rsidRPr="008252E5">
              <w:t xml:space="preserve">The lowest-level consists of a Clinical Research Governance Officer </w:t>
            </w:r>
            <w:r w:rsidR="00E3331C" w:rsidRPr="008252E5">
              <w:t xml:space="preserve">(CRGO) </w:t>
            </w:r>
            <w:r w:rsidR="006E1F89" w:rsidRPr="008252E5">
              <w:t xml:space="preserve">review </w:t>
            </w:r>
            <w:r w:rsidR="006E1F89" w:rsidRPr="008252E5">
              <w:lastRenderedPageBreak/>
              <w:t xml:space="preserve">before being sent for approval, for medium-level projects an academic </w:t>
            </w:r>
            <w:r w:rsidR="00C20BF5" w:rsidRPr="008252E5">
              <w:t xml:space="preserve">from the </w:t>
            </w:r>
            <w:r w:rsidR="009515DC" w:rsidRPr="008252E5">
              <w:t>Sponsorship Committee</w:t>
            </w:r>
            <w:r w:rsidR="00C20BF5" w:rsidRPr="008252E5">
              <w:t xml:space="preserve"> also complete</w:t>
            </w:r>
            <w:r w:rsidR="00EC232D" w:rsidRPr="008252E5">
              <w:t>s</w:t>
            </w:r>
            <w:r w:rsidR="00C20BF5" w:rsidRPr="008252E5">
              <w:t xml:space="preserve"> a review</w:t>
            </w:r>
            <w:r w:rsidR="00926D13" w:rsidRPr="008252E5">
              <w:t>,</w:t>
            </w:r>
            <w:r w:rsidR="00C20BF5" w:rsidRPr="008252E5">
              <w:t xml:space="preserve"> and those projects with the highest-level</w:t>
            </w:r>
            <w:r w:rsidR="00EC232D" w:rsidRPr="008252E5">
              <w:t xml:space="preserve"> of</w:t>
            </w:r>
            <w:r w:rsidR="00C20BF5" w:rsidRPr="008252E5">
              <w:t xml:space="preserve"> </w:t>
            </w:r>
            <w:r w:rsidR="00E3331C" w:rsidRPr="008252E5">
              <w:t>scrutiny</w:t>
            </w:r>
            <w:r w:rsidR="00EC232D" w:rsidRPr="008252E5">
              <w:t xml:space="preserve"> needed</w:t>
            </w:r>
            <w:r w:rsidR="00E3331C" w:rsidRPr="008252E5">
              <w:t xml:space="preserve"> will be reviewed by the full committee following feedback and development with the CRGOs.</w:t>
            </w:r>
          </w:p>
          <w:p w14:paraId="2464186E" w14:textId="2128523A" w:rsidR="001376A0" w:rsidRPr="008252E5" w:rsidRDefault="00055861" w:rsidP="00886318">
            <w:r w:rsidRPr="008252E5">
              <w:rPr>
                <w:b/>
                <w:bCs/>
              </w:rPr>
              <w:t>NHS England Data Security and Protection Toolkit:</w:t>
            </w:r>
            <w:r w:rsidRPr="008252E5">
              <w:rPr>
                <w:b/>
                <w:bCs/>
              </w:rPr>
              <w:br/>
            </w:r>
            <w:r w:rsidR="00894619" w:rsidRPr="008252E5">
              <w:t xml:space="preserve">All organisations that have access to NHS patient data and systems must use the Data Security and Protection Toolkit to publish an assessment against the National Data Guardian’s </w:t>
            </w:r>
            <w:r w:rsidR="00D40A8E" w:rsidRPr="008252E5">
              <w:t>(NDG) ten</w:t>
            </w:r>
            <w:r w:rsidR="00894619" w:rsidRPr="008252E5">
              <w:t xml:space="preserve"> data security standards. </w:t>
            </w:r>
            <w:r w:rsidR="004606A8" w:rsidRPr="008252E5">
              <w:t xml:space="preserve">Lancaster </w:t>
            </w:r>
            <w:r w:rsidR="00F559AF" w:rsidRPr="008252E5">
              <w:t xml:space="preserve">has completed </w:t>
            </w:r>
            <w:r w:rsidR="00EB1C39" w:rsidRPr="008252E5">
              <w:t>the self-assessment which provides evidence that the University meets the</w:t>
            </w:r>
            <w:r w:rsidR="00D40A8E" w:rsidRPr="008252E5">
              <w:t xml:space="preserve"> NDG standards</w:t>
            </w:r>
            <w:r w:rsidR="004606A8" w:rsidRPr="008252E5">
              <w:t>.</w:t>
            </w:r>
          </w:p>
          <w:p w14:paraId="2CB3BEA9" w14:textId="51D70E36" w:rsidR="00756023" w:rsidRPr="008252E5" w:rsidRDefault="00706CE0" w:rsidP="00706CE0">
            <w:pPr>
              <w:pStyle w:val="BodyText"/>
              <w:spacing w:after="0"/>
              <w:rPr>
                <w:b/>
                <w:bCs/>
              </w:rPr>
            </w:pPr>
            <w:r w:rsidRPr="008252E5">
              <w:rPr>
                <w:b/>
                <w:bCs/>
              </w:rPr>
              <w:t>Researcher</w:t>
            </w:r>
            <w:r w:rsidRPr="008252E5">
              <w:t xml:space="preserve"> </w:t>
            </w:r>
            <w:r w:rsidRPr="008252E5">
              <w:rPr>
                <w:b/>
                <w:bCs/>
              </w:rPr>
              <w:t>training</w:t>
            </w:r>
            <w:r w:rsidR="001D3164" w:rsidRPr="008252E5">
              <w:rPr>
                <w:b/>
                <w:bCs/>
              </w:rPr>
              <w:t>:</w:t>
            </w:r>
          </w:p>
          <w:p w14:paraId="07E3E05B" w14:textId="77777777" w:rsidR="00756023" w:rsidRPr="008252E5" w:rsidRDefault="005606BD" w:rsidP="005606BD">
            <w:r w:rsidRPr="008252E5">
              <w:t xml:space="preserve">During 2021-22 a survey on ethical training provision for staff and post-graduate researchers across the institution was completed. Recommendations for improvements and sharing of best practice was discussed by UREIC during 2022-23 and two new digital training packages were purchased </w:t>
            </w:r>
            <w:r w:rsidR="00A7511C" w:rsidRPr="008252E5">
              <w:t>(1)</w:t>
            </w:r>
            <w:r w:rsidRPr="008252E5">
              <w:t xml:space="preserve"> </w:t>
            </w:r>
            <w:r w:rsidR="00D63EF5" w:rsidRPr="008252E5">
              <w:t xml:space="preserve">Research Integrity 2.0, which is an updated version of </w:t>
            </w:r>
            <w:r w:rsidR="006E2EAC" w:rsidRPr="008252E5">
              <w:t>previous</w:t>
            </w:r>
            <w:r w:rsidR="00D63EF5" w:rsidRPr="008252E5">
              <w:t xml:space="preserve"> </w:t>
            </w:r>
            <w:r w:rsidR="00953538" w:rsidRPr="008252E5">
              <w:t xml:space="preserve">institutional </w:t>
            </w:r>
            <w:r w:rsidR="00D63EF5" w:rsidRPr="008252E5">
              <w:t>provision</w:t>
            </w:r>
            <w:r w:rsidR="00A7511C" w:rsidRPr="008252E5">
              <w:t xml:space="preserve"> and (2)</w:t>
            </w:r>
            <w:r w:rsidR="00D67270" w:rsidRPr="008252E5">
              <w:t xml:space="preserve"> Ethical Research which includes</w:t>
            </w:r>
            <w:r w:rsidR="006028F1" w:rsidRPr="008252E5">
              <w:t xml:space="preserve"> new</w:t>
            </w:r>
            <w:r w:rsidR="00D67270" w:rsidRPr="008252E5">
              <w:t xml:space="preserve"> </w:t>
            </w:r>
            <w:r w:rsidR="00953538" w:rsidRPr="008252E5">
              <w:t>modules under the headings ‘</w:t>
            </w:r>
            <w:r w:rsidR="006028F1" w:rsidRPr="008252E5">
              <w:t>b</w:t>
            </w:r>
            <w:r w:rsidR="00953538" w:rsidRPr="008252E5">
              <w:t>ecoming an ethical researcher’ and ‘</w:t>
            </w:r>
            <w:r w:rsidR="006028F1" w:rsidRPr="008252E5">
              <w:t>r</w:t>
            </w:r>
            <w:r w:rsidR="00953538" w:rsidRPr="008252E5">
              <w:t>esearch ethics in practice’.</w:t>
            </w:r>
            <w:r w:rsidR="00597ADE" w:rsidRPr="008252E5">
              <w:t xml:space="preserve"> </w:t>
            </w:r>
          </w:p>
          <w:p w14:paraId="3FAA4AEF" w14:textId="77777777" w:rsidR="003E354E" w:rsidRPr="008252E5" w:rsidRDefault="003E354E" w:rsidP="0023237A">
            <w:pPr>
              <w:spacing w:after="0"/>
            </w:pPr>
            <w:r w:rsidRPr="008252E5">
              <w:rPr>
                <w:b/>
                <w:bCs/>
              </w:rPr>
              <w:t>UK Reproducibility Network</w:t>
            </w:r>
            <w:r w:rsidR="00D761DE" w:rsidRPr="008252E5">
              <w:rPr>
                <w:b/>
                <w:bCs/>
              </w:rPr>
              <w:t>:</w:t>
            </w:r>
            <w:r w:rsidRPr="008252E5">
              <w:rPr>
                <w:b/>
                <w:bCs/>
              </w:rPr>
              <w:br/>
            </w:r>
            <w:r w:rsidR="001A7C94" w:rsidRPr="008252E5">
              <w:t>Lancaster became a member of the UK Reproducibility Network in 2023</w:t>
            </w:r>
            <w:r w:rsidR="00DB7E52" w:rsidRPr="008252E5">
              <w:t xml:space="preserve"> with</w:t>
            </w:r>
            <w:r w:rsidR="001A7C94" w:rsidRPr="008252E5">
              <w:t xml:space="preserve"> </w:t>
            </w:r>
            <w:r w:rsidR="00321147" w:rsidRPr="008252E5">
              <w:t xml:space="preserve">UREIC Chair, Professor Joyce, </w:t>
            </w:r>
            <w:r w:rsidR="00DB7E52" w:rsidRPr="008252E5">
              <w:t>taking</w:t>
            </w:r>
            <w:r w:rsidR="00321147" w:rsidRPr="008252E5">
              <w:t xml:space="preserve"> the institutional representative</w:t>
            </w:r>
            <w:r w:rsidR="00DB7E52" w:rsidRPr="008252E5">
              <w:t xml:space="preserve"> role. </w:t>
            </w:r>
            <w:r w:rsidR="002D1753" w:rsidRPr="008252E5">
              <w:t xml:space="preserve">Through </w:t>
            </w:r>
            <w:r w:rsidR="004837D0" w:rsidRPr="008252E5">
              <w:t xml:space="preserve">connections with other members of this community </w:t>
            </w:r>
            <w:r w:rsidR="002D1753" w:rsidRPr="008252E5">
              <w:t>we hope to better understand the factors that contribute to poor research reproducibility and replicability</w:t>
            </w:r>
            <w:r w:rsidR="00500E1C" w:rsidRPr="008252E5">
              <w:t xml:space="preserve">. We will develop institutional approaches to counter these </w:t>
            </w:r>
            <w:proofErr w:type="gramStart"/>
            <w:r w:rsidR="00500E1C" w:rsidRPr="008252E5">
              <w:t>in order to</w:t>
            </w:r>
            <w:proofErr w:type="gramEnd"/>
            <w:r w:rsidR="00500E1C" w:rsidRPr="008252E5">
              <w:t xml:space="preserve"> improve the trustworthiness and quality of our research. </w:t>
            </w:r>
          </w:p>
          <w:p w14:paraId="631DA2CC" w14:textId="6926443C" w:rsidR="0023237A" w:rsidRPr="008252E5" w:rsidRDefault="0023237A" w:rsidP="00C87E7A">
            <w:pPr>
              <w:spacing w:after="0"/>
            </w:pPr>
          </w:p>
        </w:tc>
      </w:tr>
    </w:tbl>
    <w:p w14:paraId="7DA8C215" w14:textId="77777777" w:rsidR="00507B3B" w:rsidRPr="008252E5" w:rsidRDefault="00507B3B" w:rsidP="00205E80">
      <w:pPr>
        <w:pStyle w:val="BodyText"/>
        <w:spacing w:after="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73C98" w:rsidRPr="008252E5" w14:paraId="58B65260" w14:textId="77777777" w:rsidTr="767359A8">
        <w:tc>
          <w:tcPr>
            <w:tcW w:w="9493" w:type="dxa"/>
            <w:shd w:val="clear" w:color="auto" w:fill="auto"/>
          </w:tcPr>
          <w:p w14:paraId="540ED961" w14:textId="43FA6472" w:rsidR="00073C98" w:rsidRPr="008252E5" w:rsidRDefault="00507B3B" w:rsidP="000848B5">
            <w:pPr>
              <w:pStyle w:val="BodyText"/>
              <w:spacing w:after="360"/>
              <w:rPr>
                <w:rFonts w:ascii="Calibri" w:hAnsi="Calibri"/>
                <w:b/>
              </w:rPr>
            </w:pPr>
            <w:r w:rsidRPr="008252E5">
              <w:br w:type="page"/>
            </w:r>
            <w:r w:rsidR="00073C98" w:rsidRPr="008252E5">
              <w:rPr>
                <w:rStyle w:val="HighlightBold"/>
              </w:rPr>
              <w:t>2C</w:t>
            </w:r>
            <w:r w:rsidR="009D7816" w:rsidRPr="008252E5">
              <w:rPr>
                <w:rStyle w:val="HighlightBold"/>
              </w:rPr>
              <w:t>.</w:t>
            </w:r>
            <w:r w:rsidR="00073C98" w:rsidRPr="008252E5">
              <w:rPr>
                <w:rStyle w:val="HighlightBold"/>
              </w:rPr>
              <w:t xml:space="preserve"> Reflections on progress and plans for future developments</w:t>
            </w:r>
          </w:p>
        </w:tc>
      </w:tr>
      <w:tr w:rsidR="00073C98" w:rsidRPr="008252E5" w14:paraId="71C48832" w14:textId="77777777" w:rsidTr="767359A8">
        <w:tc>
          <w:tcPr>
            <w:tcW w:w="9493" w:type="dxa"/>
            <w:shd w:val="clear" w:color="auto" w:fill="auto"/>
          </w:tcPr>
          <w:p w14:paraId="3B116E0F" w14:textId="32DB62AA" w:rsidR="003E05C9" w:rsidRPr="008252E5" w:rsidRDefault="00A8046C" w:rsidP="00A8046C">
            <w:pPr>
              <w:pStyle w:val="BodyText"/>
              <w:spacing w:after="0"/>
              <w:rPr>
                <w:b/>
                <w:bCs/>
              </w:rPr>
            </w:pPr>
            <w:r w:rsidRPr="008252E5">
              <w:rPr>
                <w:b/>
                <w:bCs/>
              </w:rPr>
              <w:t xml:space="preserve">Digital </w:t>
            </w:r>
            <w:r w:rsidR="00942D90" w:rsidRPr="008252E5">
              <w:rPr>
                <w:b/>
                <w:bCs/>
              </w:rPr>
              <w:t xml:space="preserve">ethical </w:t>
            </w:r>
            <w:r w:rsidRPr="008252E5">
              <w:rPr>
                <w:b/>
                <w:bCs/>
              </w:rPr>
              <w:t>approvals</w:t>
            </w:r>
            <w:r w:rsidR="001D3164" w:rsidRPr="008252E5">
              <w:rPr>
                <w:b/>
                <w:bCs/>
              </w:rPr>
              <w:t>:</w:t>
            </w:r>
          </w:p>
          <w:p w14:paraId="1443A142" w14:textId="2DEA159C" w:rsidR="00A8046C" w:rsidRPr="008252E5" w:rsidRDefault="00A8046C" w:rsidP="00A8046C">
            <w:r w:rsidRPr="008252E5">
              <w:t>Following the 1-year REAMS review</w:t>
            </w:r>
            <w:r w:rsidR="00DF1918" w:rsidRPr="008252E5">
              <w:t xml:space="preserve"> in 2022-23</w:t>
            </w:r>
            <w:r w:rsidRPr="008252E5">
              <w:t xml:space="preserve"> a report with associated recommendations will be considered by UREIC and changes implemented in 2023-24.</w:t>
            </w:r>
            <w:r w:rsidR="008065BC" w:rsidRPr="008252E5">
              <w:t xml:space="preserve"> </w:t>
            </w:r>
            <w:r w:rsidR="00DF1918" w:rsidRPr="008252E5">
              <w:t xml:space="preserve">It was hoped that work </w:t>
            </w:r>
            <w:r w:rsidR="00721BA6" w:rsidRPr="008252E5">
              <w:t>w</w:t>
            </w:r>
            <w:r w:rsidR="00DF1918" w:rsidRPr="008252E5">
              <w:t>ould begin this year</w:t>
            </w:r>
            <w:r w:rsidR="00721BA6" w:rsidRPr="008252E5">
              <w:t xml:space="preserve"> to</w:t>
            </w:r>
            <w:r w:rsidR="00DF1918" w:rsidRPr="008252E5">
              <w:t xml:space="preserve"> implement changes</w:t>
            </w:r>
            <w:r w:rsidR="00721BA6" w:rsidRPr="008252E5">
              <w:t>,</w:t>
            </w:r>
            <w:r w:rsidR="00DF1918" w:rsidRPr="008252E5">
              <w:t xml:space="preserve"> but resource issues in the ethics team delayed work by a few months. </w:t>
            </w:r>
            <w:r w:rsidR="001403BD" w:rsidRPr="008252E5">
              <w:t xml:space="preserve">The final report is due to be discussed in the October 2023 UREIC meeting. </w:t>
            </w:r>
          </w:p>
          <w:p w14:paraId="7766CCD6" w14:textId="033C13F9" w:rsidR="001403BD" w:rsidRPr="008252E5" w:rsidRDefault="001403BD" w:rsidP="00A8046C">
            <w:r w:rsidRPr="008252E5">
              <w:t>Following the implementation of the REAMS review recommendations</w:t>
            </w:r>
            <w:r w:rsidR="006111DA" w:rsidRPr="008252E5">
              <w:t>,</w:t>
            </w:r>
            <w:r w:rsidRPr="008252E5">
              <w:t xml:space="preserve"> and the refresh of standard operating procedures for clinical research sponsorship</w:t>
            </w:r>
            <w:r w:rsidR="006111DA" w:rsidRPr="008252E5">
              <w:t xml:space="preserve"> review</w:t>
            </w:r>
            <w:r w:rsidR="007F6469" w:rsidRPr="008252E5">
              <w:t>,</w:t>
            </w:r>
            <w:r w:rsidRPr="008252E5">
              <w:t xml:space="preserve"> </w:t>
            </w:r>
            <w:r w:rsidR="005A507A" w:rsidRPr="008252E5">
              <w:t xml:space="preserve">Research and Enterprise Services will consider whether the sponsorship </w:t>
            </w:r>
            <w:r w:rsidR="009D2183" w:rsidRPr="008252E5">
              <w:t xml:space="preserve">approval </w:t>
            </w:r>
            <w:r w:rsidR="005A507A" w:rsidRPr="008252E5">
              <w:t xml:space="preserve">process can be </w:t>
            </w:r>
            <w:r w:rsidR="007F6469" w:rsidRPr="008252E5">
              <w:t>transferred</w:t>
            </w:r>
            <w:r w:rsidR="005A507A" w:rsidRPr="008252E5">
              <w:t xml:space="preserve"> into REAMS. </w:t>
            </w:r>
            <w:r w:rsidR="007F6469" w:rsidRPr="008252E5">
              <w:t>Due to the smaller number of applications for sponsorship this is not a major priority</w:t>
            </w:r>
            <w:r w:rsidR="008C65D8" w:rsidRPr="008252E5">
              <w:t>,</w:t>
            </w:r>
            <w:r w:rsidR="007F6469" w:rsidRPr="008252E5">
              <w:t xml:space="preserve"> however</w:t>
            </w:r>
            <w:r w:rsidR="00263A2F" w:rsidRPr="008252E5">
              <w:t xml:space="preserve"> the University aims to increase research activity in this area and using the existing digital system </w:t>
            </w:r>
            <w:r w:rsidR="00141D6B" w:rsidRPr="008252E5">
              <w:t xml:space="preserve">could be an </w:t>
            </w:r>
            <w:r w:rsidR="008C65D8" w:rsidRPr="008252E5">
              <w:t>advantage</w:t>
            </w:r>
            <w:r w:rsidR="00141D6B" w:rsidRPr="008252E5">
              <w:t xml:space="preserve"> for researchers</w:t>
            </w:r>
            <w:r w:rsidR="008C65D8" w:rsidRPr="008252E5">
              <w:t xml:space="preserve"> as it would be a consistent pathway to university approvals</w:t>
            </w:r>
            <w:r w:rsidR="00141D6B" w:rsidRPr="008252E5">
              <w:t xml:space="preserve">. This is unlikely to be explored until 2024-25. </w:t>
            </w:r>
          </w:p>
          <w:p w14:paraId="736A2F5F" w14:textId="1AC85D9B" w:rsidR="001E3174" w:rsidRPr="008252E5" w:rsidRDefault="001E3174" w:rsidP="00A8046C">
            <w:r w:rsidRPr="008252E5">
              <w:rPr>
                <w:b/>
                <w:bCs/>
              </w:rPr>
              <w:lastRenderedPageBreak/>
              <w:t>Researcher training</w:t>
            </w:r>
            <w:r w:rsidR="001D3164" w:rsidRPr="008252E5">
              <w:rPr>
                <w:b/>
                <w:bCs/>
              </w:rPr>
              <w:t>:</w:t>
            </w:r>
            <w:r w:rsidRPr="008252E5">
              <w:br/>
            </w:r>
            <w:r w:rsidR="00B00527" w:rsidRPr="008252E5">
              <w:t>The procurement of a replacement institutional digital integrity training course and a new institutional ethic</w:t>
            </w:r>
            <w:r w:rsidR="00626467" w:rsidRPr="008252E5">
              <w:t xml:space="preserve">s course is a good step forward in 2022-23 to researchers’ </w:t>
            </w:r>
            <w:r w:rsidR="006701CD" w:rsidRPr="008252E5">
              <w:t>seeing these topics as positive and beneficial</w:t>
            </w:r>
            <w:r w:rsidR="00887DCE" w:rsidRPr="008252E5">
              <w:t xml:space="preserve"> </w:t>
            </w:r>
            <w:r w:rsidR="00626467" w:rsidRPr="008252E5">
              <w:t>across the university. It has been recognised that these new provisions need to be well promoted and integrate</w:t>
            </w:r>
            <w:r w:rsidR="00107081" w:rsidRPr="008252E5">
              <w:t xml:space="preserve">d with existing structures and provision to have a significant uptake. </w:t>
            </w:r>
            <w:r w:rsidRPr="008252E5">
              <w:t xml:space="preserve">A temporary professional service role to help roll out these packages and align with current departmental and faculty provision will be recruited </w:t>
            </w:r>
            <w:r w:rsidR="00C916D6" w:rsidRPr="008252E5">
              <w:t>in the first part of</w:t>
            </w:r>
            <w:r w:rsidRPr="008252E5">
              <w:t xml:space="preserve"> 2023-24 and will </w:t>
            </w:r>
            <w:r w:rsidR="00C916D6" w:rsidRPr="008252E5">
              <w:t xml:space="preserve">also </w:t>
            </w:r>
            <w:r w:rsidRPr="008252E5">
              <w:t>set up functionality to measure uptake</w:t>
            </w:r>
            <w:r w:rsidR="00C916D6" w:rsidRPr="008252E5">
              <w:t xml:space="preserve"> of the courses</w:t>
            </w:r>
            <w:r w:rsidRPr="008252E5">
              <w:t xml:space="preserve">. UREIC will continue to discuss training provision during </w:t>
            </w:r>
            <w:r w:rsidR="00C916D6" w:rsidRPr="008252E5">
              <w:t>20</w:t>
            </w:r>
            <w:r w:rsidRPr="008252E5">
              <w:t xml:space="preserve">23-24 and whether any modules on the new courses should be recommended to </w:t>
            </w:r>
            <w:r w:rsidR="00AB7DE0" w:rsidRPr="008252E5">
              <w:t xml:space="preserve">more senior committees to </w:t>
            </w:r>
            <w:r w:rsidRPr="008252E5">
              <w:t>become mandatory for certain groups within the research community.</w:t>
            </w:r>
          </w:p>
          <w:p w14:paraId="4B145B97" w14:textId="356E94F6" w:rsidR="00FD5295" w:rsidRPr="008252E5" w:rsidRDefault="00FD5295" w:rsidP="00A8046C">
            <w:r w:rsidRPr="008252E5">
              <w:t>There are plans</w:t>
            </w:r>
            <w:r w:rsidR="003E6111" w:rsidRPr="008252E5">
              <w:t xml:space="preserve"> in 2023-24</w:t>
            </w:r>
            <w:r w:rsidRPr="008252E5">
              <w:t xml:space="preserve"> to develop a</w:t>
            </w:r>
            <w:r w:rsidR="004653E3" w:rsidRPr="008252E5">
              <w:t>n online</w:t>
            </w:r>
            <w:r w:rsidRPr="008252E5">
              <w:t xml:space="preserve"> hub for the research</w:t>
            </w:r>
            <w:r w:rsidR="004653E3" w:rsidRPr="008252E5">
              <w:t xml:space="preserve"> </w:t>
            </w:r>
            <w:r w:rsidRPr="008252E5">
              <w:t xml:space="preserve">community to </w:t>
            </w:r>
            <w:r w:rsidR="001363CA" w:rsidRPr="008252E5">
              <w:t>promote</w:t>
            </w:r>
            <w:r w:rsidRPr="008252E5">
              <w:t xml:space="preserve"> all training provisions that are available</w:t>
            </w:r>
            <w:r w:rsidR="001363CA" w:rsidRPr="008252E5">
              <w:t xml:space="preserve">. The new role will help to develop these pages </w:t>
            </w:r>
            <w:proofErr w:type="gramStart"/>
            <w:r w:rsidR="001363CA" w:rsidRPr="008252E5">
              <w:t>and also</w:t>
            </w:r>
            <w:proofErr w:type="gramEnd"/>
            <w:r w:rsidR="001363CA" w:rsidRPr="008252E5">
              <w:t xml:space="preserve"> to introduce additional training courses in safeguarding, export controls and research impact</w:t>
            </w:r>
            <w:r w:rsidR="00CA165A" w:rsidRPr="008252E5">
              <w:t xml:space="preserve"> that will be targeted to the </w:t>
            </w:r>
            <w:r w:rsidR="00A471B1" w:rsidRPr="008252E5">
              <w:t xml:space="preserve">appropriate members of the research community. Consideration will also be given to how training </w:t>
            </w:r>
            <w:r w:rsidR="0092049C" w:rsidRPr="008252E5">
              <w:t xml:space="preserve">completion </w:t>
            </w:r>
            <w:r w:rsidR="00A471B1" w:rsidRPr="008252E5">
              <w:t>and approval</w:t>
            </w:r>
            <w:r w:rsidR="0092049C" w:rsidRPr="008252E5">
              <w:t xml:space="preserve"> </w:t>
            </w:r>
            <w:r w:rsidR="00B56D25" w:rsidRPr="008252E5">
              <w:t xml:space="preserve">authorities </w:t>
            </w:r>
            <w:r w:rsidR="0092049C" w:rsidRPr="008252E5">
              <w:t>may</w:t>
            </w:r>
            <w:r w:rsidR="00A471B1" w:rsidRPr="008252E5">
              <w:t xml:space="preserve"> be linked in the future, </w:t>
            </w:r>
            <w:r w:rsidR="00AD7D3E" w:rsidRPr="008252E5">
              <w:t xml:space="preserve">and how to ensure that training is provided to the relevant staff members as quickly as possible in </w:t>
            </w:r>
            <w:r w:rsidR="0092049C" w:rsidRPr="008252E5">
              <w:t xml:space="preserve">key areas that </w:t>
            </w:r>
            <w:r w:rsidR="00D71917" w:rsidRPr="008252E5">
              <w:t>also have legal requirements</w:t>
            </w:r>
            <w:r w:rsidR="0092049C" w:rsidRPr="008252E5">
              <w:t xml:space="preserve">, for example export controls. </w:t>
            </w:r>
          </w:p>
          <w:p w14:paraId="3C953846" w14:textId="5CB8F719" w:rsidR="00EE0B8E" w:rsidRPr="008252E5" w:rsidRDefault="004C0B99" w:rsidP="00EE0B8E">
            <w:pPr>
              <w:spacing w:after="0"/>
              <w:rPr>
                <w:b/>
                <w:bCs/>
              </w:rPr>
            </w:pPr>
            <w:r w:rsidRPr="008252E5">
              <w:rPr>
                <w:b/>
                <w:bCs/>
              </w:rPr>
              <w:t>R</w:t>
            </w:r>
            <w:r w:rsidR="00942D90" w:rsidRPr="008252E5">
              <w:rPr>
                <w:b/>
                <w:bCs/>
              </w:rPr>
              <w:t xml:space="preserve">eimaging research practices </w:t>
            </w:r>
            <w:r w:rsidRPr="008252E5">
              <w:rPr>
                <w:b/>
                <w:bCs/>
              </w:rPr>
              <w:t>to mitigate ethical risks in the digital era</w:t>
            </w:r>
            <w:r w:rsidR="001D3164" w:rsidRPr="008252E5">
              <w:rPr>
                <w:b/>
                <w:bCs/>
              </w:rPr>
              <w:t>:</w:t>
            </w:r>
          </w:p>
          <w:p w14:paraId="11A6C639" w14:textId="4EEE9F33" w:rsidR="00EB1616" w:rsidRPr="008252E5" w:rsidRDefault="00BD621F" w:rsidP="00C62DC6">
            <w:pPr>
              <w:spacing w:after="0"/>
            </w:pPr>
            <w:r w:rsidRPr="008252E5">
              <w:t>The University</w:t>
            </w:r>
            <w:r w:rsidR="00EE0B8E" w:rsidRPr="008252E5">
              <w:t xml:space="preserve"> was successful in a</w:t>
            </w:r>
            <w:r w:rsidRPr="008252E5">
              <w:t>n £1M</w:t>
            </w:r>
            <w:r w:rsidR="00EE0B8E" w:rsidRPr="008252E5">
              <w:t xml:space="preserve"> institutional bid to</w:t>
            </w:r>
            <w:r w:rsidRPr="008252E5">
              <w:t xml:space="preserve"> Wellcome Trust for improving research culture</w:t>
            </w:r>
            <w:r w:rsidR="00F3056E" w:rsidRPr="008252E5">
              <w:t xml:space="preserve">. The project will start in August 2024 and is titled </w:t>
            </w:r>
            <w:r w:rsidR="00F3056E" w:rsidRPr="008252E5">
              <w:rPr>
                <w:i/>
                <w:iCs/>
              </w:rPr>
              <w:t>Reimagining research practices: towards a sustainable, ethical and inclusive future</w:t>
            </w:r>
            <w:r w:rsidR="00F3056E" w:rsidRPr="008252E5">
              <w:t xml:space="preserve">. </w:t>
            </w:r>
            <w:r w:rsidR="00680F58" w:rsidRPr="008252E5">
              <w:t>The proposal consists of three overarching but interlinking pillars</w:t>
            </w:r>
            <w:r w:rsidR="00465884" w:rsidRPr="008252E5">
              <w:t>;</w:t>
            </w:r>
            <w:r w:rsidR="00360149" w:rsidRPr="008252E5">
              <w:t xml:space="preserve"> of</w:t>
            </w:r>
            <w:r w:rsidR="003E6B57" w:rsidRPr="008252E5">
              <w:t xml:space="preserve"> </w:t>
            </w:r>
            <w:proofErr w:type="gramStart"/>
            <w:r w:rsidR="003E6B57" w:rsidRPr="008252E5">
              <w:t>particular</w:t>
            </w:r>
            <w:r w:rsidR="00360149" w:rsidRPr="008252E5">
              <w:t xml:space="preserve"> </w:t>
            </w:r>
            <w:r w:rsidR="00004AAE" w:rsidRPr="008252E5">
              <w:t>relevance</w:t>
            </w:r>
            <w:proofErr w:type="gramEnd"/>
            <w:r w:rsidR="00360149" w:rsidRPr="008252E5">
              <w:t xml:space="preserve"> in this area is the </w:t>
            </w:r>
            <w:r w:rsidR="00465884" w:rsidRPr="008252E5">
              <w:t>investigation of mitigation</w:t>
            </w:r>
            <w:r w:rsidR="00E47AA7" w:rsidRPr="008252E5">
              <w:t>s</w:t>
            </w:r>
            <w:r w:rsidR="00465884" w:rsidRPr="008252E5">
              <w:t xml:space="preserve"> for ethical risks arising from reshaping research approaches in the digital era. </w:t>
            </w:r>
            <w:r w:rsidR="003E6B57" w:rsidRPr="008252E5">
              <w:t>As a result of these investigations, t</w:t>
            </w:r>
            <w:r w:rsidR="00E47AA7" w:rsidRPr="008252E5">
              <w:t xml:space="preserve">he </w:t>
            </w:r>
            <w:r w:rsidR="00C62DC6" w:rsidRPr="008252E5">
              <w:t xml:space="preserve">two-year </w:t>
            </w:r>
            <w:r w:rsidR="00E47AA7" w:rsidRPr="008252E5">
              <w:t>project will</w:t>
            </w:r>
            <w:r w:rsidR="00C62DC6" w:rsidRPr="008252E5">
              <w:t xml:space="preserve"> </w:t>
            </w:r>
            <w:r w:rsidR="00E47AA7" w:rsidRPr="008252E5">
              <w:t>develop support mechanisms, new resources, university strategies and policies as appropriate</w:t>
            </w:r>
            <w:r w:rsidR="000B0473" w:rsidRPr="008252E5">
              <w:t>. These will be evaluated</w:t>
            </w:r>
            <w:r w:rsidR="00CB050E" w:rsidRPr="008252E5">
              <w:t xml:space="preserve"> </w:t>
            </w:r>
            <w:r w:rsidR="000B0473" w:rsidRPr="008252E5">
              <w:t>and communicated across the University and shared</w:t>
            </w:r>
            <w:r w:rsidR="00CB050E" w:rsidRPr="008252E5">
              <w:t xml:space="preserve"> with the</w:t>
            </w:r>
            <w:r w:rsidR="000B0473" w:rsidRPr="008252E5">
              <w:t xml:space="preserve"> wider </w:t>
            </w:r>
            <w:r w:rsidR="00CB050E" w:rsidRPr="008252E5">
              <w:t xml:space="preserve">research community. </w:t>
            </w:r>
          </w:p>
          <w:p w14:paraId="65831B8B" w14:textId="3752D253" w:rsidR="00D761DE" w:rsidRPr="008252E5" w:rsidRDefault="00D761DE" w:rsidP="00C62DC6">
            <w:pPr>
              <w:spacing w:after="0"/>
            </w:pPr>
          </w:p>
        </w:tc>
      </w:tr>
    </w:tbl>
    <w:p w14:paraId="1BA9EB2A" w14:textId="77777777" w:rsidR="008724E6" w:rsidRPr="008252E5" w:rsidRDefault="008724E6" w:rsidP="009D7816">
      <w:pPr>
        <w:pStyle w:val="BodyText"/>
        <w:spacing w:after="360"/>
      </w:pPr>
    </w:p>
    <w:p w14:paraId="0F033438" w14:textId="77777777" w:rsidR="004B4004" w:rsidRPr="008252E5" w:rsidRDefault="004B4004">
      <w:pPr>
        <w:spacing w:after="160" w:line="259" w:lineRule="auto"/>
        <w:rPr>
          <w:rFonts w:ascii="Times New Roman" w:eastAsia="Times New Roman" w:hAnsi="Times New Roman"/>
          <w:b/>
          <w:sz w:val="40"/>
          <w:szCs w:val="40"/>
        </w:rPr>
        <w:sectPr w:rsidR="004B4004" w:rsidRPr="008252E5" w:rsidSect="00405C70">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276" w:left="1440" w:header="680" w:footer="680" w:gutter="0"/>
          <w:cols w:space="708"/>
          <w:docGrid w:linePitch="360"/>
        </w:sectPr>
      </w:pPr>
    </w:p>
    <w:p w14:paraId="08F7105B" w14:textId="77777777" w:rsidR="00073C98" w:rsidRPr="008252E5" w:rsidRDefault="004B4004" w:rsidP="009D7816">
      <w:pPr>
        <w:pStyle w:val="Heading2"/>
      </w:pPr>
      <w:r w:rsidRPr="008252E5">
        <w:lastRenderedPageBreak/>
        <w:t xml:space="preserve"> </w:t>
      </w:r>
      <w:r w:rsidR="00073C98" w:rsidRPr="008252E5">
        <w:t>Section 3: Addressing research misconduct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852"/>
        <w:gridCol w:w="1852"/>
        <w:gridCol w:w="1852"/>
        <w:gridCol w:w="1852"/>
      </w:tblGrid>
      <w:tr w:rsidR="00970E10" w:rsidRPr="008252E5" w14:paraId="20DBEA14" w14:textId="77777777" w:rsidTr="767359A8">
        <w:tc>
          <w:tcPr>
            <w:tcW w:w="9493" w:type="dxa"/>
            <w:gridSpan w:val="5"/>
            <w:shd w:val="clear" w:color="auto" w:fill="auto"/>
          </w:tcPr>
          <w:p w14:paraId="0320EACA" w14:textId="144955F5" w:rsidR="00970E10" w:rsidRPr="008252E5" w:rsidRDefault="00970E10" w:rsidP="00D10A33">
            <w:pPr>
              <w:pStyle w:val="BodyText"/>
              <w:spacing w:after="360"/>
              <w:rPr>
                <w:rFonts w:ascii="Calibri" w:hAnsi="Calibri"/>
                <w:b/>
              </w:rPr>
            </w:pPr>
            <w:r w:rsidRPr="008252E5">
              <w:rPr>
                <w:rStyle w:val="HighlightBold"/>
              </w:rPr>
              <w:t>3A</w:t>
            </w:r>
            <w:r w:rsidR="009D7816" w:rsidRPr="008252E5">
              <w:rPr>
                <w:rStyle w:val="HighlightBold"/>
              </w:rPr>
              <w:t>.</w:t>
            </w:r>
            <w:r w:rsidRPr="008252E5">
              <w:rPr>
                <w:rStyle w:val="HighlightBold"/>
              </w:rPr>
              <w:t xml:space="preserve"> Statement on processes that the organisation has in place for dealing with allegations of misconduct</w:t>
            </w:r>
          </w:p>
        </w:tc>
      </w:tr>
      <w:tr w:rsidR="00970E10" w:rsidRPr="008252E5" w14:paraId="03485F1B" w14:textId="77777777" w:rsidTr="767359A8">
        <w:tc>
          <w:tcPr>
            <w:tcW w:w="9493" w:type="dxa"/>
            <w:gridSpan w:val="5"/>
            <w:shd w:val="clear" w:color="auto" w:fill="auto"/>
          </w:tcPr>
          <w:p w14:paraId="73976314" w14:textId="2DA6E009" w:rsidR="008F03C9" w:rsidRPr="008252E5" w:rsidRDefault="00756023" w:rsidP="00756023">
            <w:r w:rsidRPr="008252E5">
              <w:t xml:space="preserve">Lancaster is committed to the highest standards of research integrity and takes any concerns raised about the conduct of research undertaken by any staff or research students very seriously. </w:t>
            </w:r>
            <w:r w:rsidR="00064967" w:rsidRPr="008252E5">
              <w:t>To</w:t>
            </w:r>
            <w:r w:rsidRPr="008252E5">
              <w:t xml:space="preserve"> ensure that both internal staff and students and external individuals feel able to report suspected instances of research misconduct we ensure that all our research webpages are </w:t>
            </w:r>
            <w:r w:rsidR="00640BA7" w:rsidRPr="008252E5">
              <w:t>publicly</w:t>
            </w:r>
            <w:r w:rsidRPr="008252E5">
              <w:t xml:space="preserve"> available to encourage an open environment, this includes information about our research misconduct procedure</w:t>
            </w:r>
            <w:r w:rsidR="008F03C9" w:rsidRPr="008252E5">
              <w:t>.</w:t>
            </w:r>
          </w:p>
          <w:p w14:paraId="3470734D" w14:textId="56A14E9E" w:rsidR="00C502E8" w:rsidRPr="008252E5" w:rsidRDefault="00640BA7" w:rsidP="00064967">
            <w:pPr>
              <w:spacing w:after="0"/>
            </w:pPr>
            <w:r w:rsidRPr="008252E5">
              <w:t xml:space="preserve">The University’s </w:t>
            </w:r>
            <w:hyperlink r:id="rId53" w:history="1">
              <w:r w:rsidRPr="008252E5">
                <w:rPr>
                  <w:rStyle w:val="Hyperlink"/>
                  <w:rFonts w:asciiTheme="majorHAnsi" w:hAnsiTheme="majorHAnsi" w:cstheme="majorHAnsi"/>
                  <w:color w:val="4472C4" w:themeColor="accent1"/>
                </w:rPr>
                <w:t>Procedure for the Investigation of Misconduct in Research</w:t>
              </w:r>
            </w:hyperlink>
            <w:r w:rsidRPr="008252E5">
              <w:rPr>
                <w:rStyle w:val="Hyperlink"/>
                <w:color w:val="FF0000"/>
                <w:u w:val="none"/>
              </w:rPr>
              <w:t xml:space="preserve"> </w:t>
            </w:r>
            <w:r w:rsidR="008F03C9" w:rsidRPr="008252E5">
              <w:t xml:space="preserve">was updated in 2021 in line with the </w:t>
            </w:r>
            <w:hyperlink r:id="rId54" w:history="1">
              <w:r w:rsidR="008F03C9" w:rsidRPr="008252E5">
                <w:rPr>
                  <w:rStyle w:val="Hyperlink"/>
                  <w:rFonts w:asciiTheme="majorHAnsi" w:hAnsiTheme="majorHAnsi" w:cstheme="majorHAnsi"/>
                  <w:color w:val="4472C4" w:themeColor="accent1"/>
                </w:rPr>
                <w:t>procedure published by the UK Research Integrity Office</w:t>
              </w:r>
            </w:hyperlink>
            <w:r w:rsidR="008F03C9" w:rsidRPr="008252E5">
              <w:t xml:space="preserve">. </w:t>
            </w:r>
            <w:r w:rsidRPr="008252E5">
              <w:t>It</w:t>
            </w:r>
            <w:r w:rsidR="008F03C9" w:rsidRPr="008252E5">
              <w:t xml:space="preserve"> provides a transparent, timely, robust and fair process for dealing with allegations of </w:t>
            </w:r>
            <w:r w:rsidR="00E30CC7" w:rsidRPr="008252E5">
              <w:t xml:space="preserve">research </w:t>
            </w:r>
            <w:r w:rsidR="008F03C9" w:rsidRPr="008252E5">
              <w:t>misconduct.</w:t>
            </w:r>
            <w:r w:rsidR="00003D69" w:rsidRPr="008252E5">
              <w:t xml:space="preserve"> Other relevant policies and procedure are listed below:</w:t>
            </w:r>
          </w:p>
          <w:p w14:paraId="26608648" w14:textId="77777777" w:rsidR="00DD5913" w:rsidRPr="008252E5" w:rsidRDefault="00DD5913" w:rsidP="00DD5913">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Raising Serious Concerns and Disclosing Public Interest Matters (</w:t>
            </w:r>
            <w:hyperlink r:id="rId55" w:history="1">
              <w:r w:rsidRPr="008252E5">
                <w:rPr>
                  <w:rStyle w:val="Hyperlink"/>
                  <w:rFonts w:asciiTheme="majorHAnsi" w:eastAsia="Calibri Light" w:hAnsiTheme="majorHAnsi" w:cstheme="majorHAnsi"/>
                  <w:color w:val="4472C4" w:themeColor="accent1"/>
                  <w:sz w:val="24"/>
                  <w:szCs w:val="24"/>
                </w:rPr>
                <w:t>Whistleblowing</w:t>
              </w:r>
            </w:hyperlink>
            <w:r w:rsidRPr="008252E5">
              <w:rPr>
                <w:rFonts w:asciiTheme="majorHAnsi" w:hAnsiTheme="majorHAnsi" w:cstheme="majorHAnsi"/>
                <w:sz w:val="24"/>
                <w:szCs w:val="24"/>
              </w:rPr>
              <w:t xml:space="preserve">) </w:t>
            </w:r>
          </w:p>
          <w:p w14:paraId="2A466ADB" w14:textId="77777777" w:rsidR="00DD5913" w:rsidRPr="008252E5" w:rsidRDefault="00DD5913" w:rsidP="00DD5913">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Code of Practice on </w:t>
            </w:r>
            <w:hyperlink r:id="rId56" w:history="1">
              <w:r w:rsidRPr="008252E5">
                <w:rPr>
                  <w:rStyle w:val="Hyperlink"/>
                  <w:rFonts w:asciiTheme="majorHAnsi" w:eastAsia="Calibri Light" w:hAnsiTheme="majorHAnsi" w:cstheme="majorHAnsi"/>
                  <w:color w:val="4472C4" w:themeColor="accent1"/>
                  <w:sz w:val="24"/>
                  <w:szCs w:val="24"/>
                </w:rPr>
                <w:t>Freedom of Speech</w:t>
              </w:r>
            </w:hyperlink>
          </w:p>
          <w:p w14:paraId="3E662086" w14:textId="77777777" w:rsidR="00DD5913" w:rsidRPr="008252E5" w:rsidRDefault="00873C46" w:rsidP="00DD5913">
            <w:pPr>
              <w:pStyle w:val="ListParagraph"/>
              <w:numPr>
                <w:ilvl w:val="0"/>
                <w:numId w:val="14"/>
              </w:numPr>
              <w:rPr>
                <w:rFonts w:asciiTheme="majorHAnsi" w:hAnsiTheme="majorHAnsi" w:cstheme="majorHAnsi"/>
                <w:sz w:val="24"/>
                <w:szCs w:val="24"/>
              </w:rPr>
            </w:pPr>
            <w:hyperlink r:id="rId57" w:history="1">
              <w:r w:rsidR="00DD5913" w:rsidRPr="008252E5">
                <w:rPr>
                  <w:rStyle w:val="Hyperlink"/>
                  <w:rFonts w:asciiTheme="majorHAnsi" w:eastAsia="Calibri Light" w:hAnsiTheme="majorHAnsi" w:cstheme="majorHAnsi"/>
                  <w:color w:val="4472C4" w:themeColor="accent1"/>
                  <w:sz w:val="24"/>
                  <w:szCs w:val="24"/>
                </w:rPr>
                <w:t>Safeguarding in Research</w:t>
              </w:r>
            </w:hyperlink>
            <w:r w:rsidR="00DD5913" w:rsidRPr="008252E5">
              <w:rPr>
                <w:rFonts w:asciiTheme="majorHAnsi" w:hAnsiTheme="majorHAnsi" w:cstheme="majorHAnsi"/>
                <w:sz w:val="24"/>
                <w:szCs w:val="24"/>
              </w:rPr>
              <w:t xml:space="preserve"> </w:t>
            </w:r>
            <w:r w:rsidR="00DD5913" w:rsidRPr="008252E5">
              <w:rPr>
                <w:rFonts w:asciiTheme="majorHAnsi" w:eastAsia="Calibri Light" w:hAnsiTheme="majorHAnsi" w:cstheme="majorHAnsi"/>
                <w:sz w:val="24"/>
                <w:szCs w:val="24"/>
              </w:rPr>
              <w:t>Statement</w:t>
            </w:r>
            <w:r w:rsidR="00DD5913" w:rsidRPr="008252E5">
              <w:rPr>
                <w:rFonts w:asciiTheme="majorHAnsi" w:hAnsiTheme="majorHAnsi" w:cstheme="majorHAnsi"/>
                <w:sz w:val="24"/>
                <w:szCs w:val="24"/>
              </w:rPr>
              <w:t xml:space="preserve"> and </w:t>
            </w:r>
            <w:r w:rsidR="00DD5913" w:rsidRPr="008252E5">
              <w:rPr>
                <w:rFonts w:asciiTheme="majorHAnsi" w:eastAsia="Calibri Light" w:hAnsiTheme="majorHAnsi" w:cstheme="majorHAnsi"/>
                <w:sz w:val="24"/>
                <w:szCs w:val="24"/>
              </w:rPr>
              <w:t>Policy</w:t>
            </w:r>
          </w:p>
          <w:p w14:paraId="459E289A" w14:textId="189DF859" w:rsidR="00003D69" w:rsidRPr="008252E5" w:rsidRDefault="00003D69" w:rsidP="00003D69">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Bullying, Harassment and Sexual Misconduct </w:t>
            </w:r>
            <w:hyperlink r:id="rId58" w:history="1">
              <w:r w:rsidRPr="008252E5">
                <w:rPr>
                  <w:rStyle w:val="Hyperlink"/>
                  <w:rFonts w:asciiTheme="majorHAnsi" w:eastAsia="Calibri Light" w:hAnsiTheme="majorHAnsi" w:cstheme="majorHAnsi"/>
                  <w:color w:val="4472C4" w:themeColor="accent1"/>
                  <w:sz w:val="24"/>
                  <w:szCs w:val="24"/>
                </w:rPr>
                <w:t>Policy</w:t>
              </w:r>
            </w:hyperlink>
          </w:p>
          <w:p w14:paraId="5F8866CC" w14:textId="77777777" w:rsidR="00003D69" w:rsidRPr="008252E5" w:rsidRDefault="00873C46" w:rsidP="00003D69">
            <w:pPr>
              <w:pStyle w:val="ListParagraph"/>
              <w:numPr>
                <w:ilvl w:val="0"/>
                <w:numId w:val="14"/>
              </w:numPr>
              <w:rPr>
                <w:rFonts w:asciiTheme="majorHAnsi" w:hAnsiTheme="majorHAnsi" w:cstheme="majorHAnsi"/>
                <w:sz w:val="24"/>
                <w:szCs w:val="24"/>
              </w:rPr>
            </w:pPr>
            <w:hyperlink r:id="rId59" w:history="1">
              <w:r w:rsidR="00003D69" w:rsidRPr="008252E5">
                <w:rPr>
                  <w:rStyle w:val="Hyperlink"/>
                  <w:rFonts w:asciiTheme="majorHAnsi" w:eastAsia="Calibri Light" w:hAnsiTheme="majorHAnsi" w:cstheme="majorHAnsi"/>
                  <w:color w:val="4472C4" w:themeColor="accent1"/>
                  <w:sz w:val="24"/>
                  <w:szCs w:val="24"/>
                </w:rPr>
                <w:t>Financial Regulations</w:t>
              </w:r>
            </w:hyperlink>
          </w:p>
          <w:p w14:paraId="0EDC8B8F" w14:textId="77777777" w:rsidR="00003D69" w:rsidRPr="008252E5" w:rsidRDefault="00003D69" w:rsidP="00003D69">
            <w:pPr>
              <w:pStyle w:val="ListParagraph"/>
              <w:numPr>
                <w:ilvl w:val="0"/>
                <w:numId w:val="14"/>
              </w:numPr>
              <w:rPr>
                <w:rFonts w:asciiTheme="majorHAnsi" w:hAnsiTheme="majorHAnsi" w:cstheme="majorHAnsi"/>
                <w:sz w:val="24"/>
                <w:szCs w:val="24"/>
              </w:rPr>
            </w:pPr>
            <w:r w:rsidRPr="008252E5">
              <w:rPr>
                <w:rFonts w:asciiTheme="majorHAnsi" w:hAnsiTheme="majorHAnsi" w:cstheme="majorHAnsi"/>
                <w:sz w:val="24"/>
                <w:szCs w:val="24"/>
              </w:rPr>
              <w:t xml:space="preserve">Anti-bribery and Corruption </w:t>
            </w:r>
            <w:hyperlink r:id="rId60" w:history="1">
              <w:r w:rsidRPr="008252E5">
                <w:rPr>
                  <w:rStyle w:val="Hyperlink"/>
                  <w:rFonts w:asciiTheme="majorHAnsi" w:eastAsia="Calibri Light" w:hAnsiTheme="majorHAnsi" w:cstheme="majorHAnsi"/>
                  <w:color w:val="4472C4" w:themeColor="accent1"/>
                  <w:sz w:val="24"/>
                  <w:szCs w:val="24"/>
                </w:rPr>
                <w:t>Policy</w:t>
              </w:r>
            </w:hyperlink>
          </w:p>
          <w:p w14:paraId="3DE2B28F" w14:textId="77777777" w:rsidR="00003D69" w:rsidRPr="008252E5" w:rsidRDefault="00003D69" w:rsidP="00003D69">
            <w:pPr>
              <w:pStyle w:val="ListParagraph"/>
              <w:numPr>
                <w:ilvl w:val="0"/>
                <w:numId w:val="14"/>
              </w:numPr>
              <w:rPr>
                <w:rStyle w:val="Hyperlink"/>
                <w:rFonts w:asciiTheme="majorHAnsi" w:hAnsiTheme="majorHAnsi" w:cstheme="majorHAnsi"/>
                <w:color w:val="auto"/>
                <w:sz w:val="24"/>
                <w:szCs w:val="24"/>
                <w:u w:val="none"/>
              </w:rPr>
            </w:pPr>
            <w:r w:rsidRPr="008252E5">
              <w:rPr>
                <w:rFonts w:asciiTheme="majorHAnsi" w:hAnsiTheme="majorHAnsi" w:cstheme="majorHAnsi"/>
                <w:sz w:val="24"/>
                <w:szCs w:val="24"/>
              </w:rPr>
              <w:t>Rules Governing </w:t>
            </w:r>
            <w:hyperlink r:id="rId61" w:tgtFrame="_blank" w:history="1">
              <w:r w:rsidRPr="008252E5">
                <w:rPr>
                  <w:rStyle w:val="Hyperlink"/>
                  <w:rFonts w:asciiTheme="majorHAnsi" w:eastAsia="Calibri Light" w:hAnsiTheme="majorHAnsi" w:cstheme="majorHAnsi"/>
                  <w:color w:val="4472C4" w:themeColor="accent1"/>
                  <w:sz w:val="24"/>
                  <w:szCs w:val="24"/>
                </w:rPr>
                <w:t>Outside Professional Activities</w:t>
              </w:r>
            </w:hyperlink>
            <w:r w:rsidRPr="008252E5">
              <w:rPr>
                <w:rStyle w:val="Hyperlink"/>
                <w:rFonts w:asciiTheme="majorHAnsi" w:eastAsia="Calibri Light" w:hAnsiTheme="majorHAnsi" w:cstheme="majorHAnsi"/>
                <w:color w:val="4472C4" w:themeColor="accent1"/>
                <w:sz w:val="24"/>
                <w:szCs w:val="24"/>
              </w:rPr>
              <w:t> </w:t>
            </w:r>
          </w:p>
          <w:p w14:paraId="02D085A2" w14:textId="77777777" w:rsidR="00FB39CB" w:rsidRPr="008252E5" w:rsidRDefault="00FB39CB" w:rsidP="00003D69">
            <w:pPr>
              <w:spacing w:after="0"/>
            </w:pPr>
          </w:p>
          <w:p w14:paraId="1DD9580B" w14:textId="2B7A6C5B" w:rsidR="00003D69" w:rsidRPr="008252E5" w:rsidRDefault="00FB39CB" w:rsidP="00003D69">
            <w:pPr>
              <w:spacing w:after="0"/>
            </w:pPr>
            <w:r w:rsidRPr="008252E5">
              <w:t xml:space="preserve">In the event of an issue being raised to the University under a specific policy or procedure that may/does not fit with the criteria within, a decision on where best to investigate/deal with the matter is made by the senior staff in charge of the relevant processes. </w:t>
            </w:r>
            <w:r w:rsidR="000C3948" w:rsidRPr="008252E5">
              <w:t>Each policy or procedure articulate</w:t>
            </w:r>
            <w:r w:rsidR="00F97DC3" w:rsidRPr="008252E5">
              <w:t>s, where appropriate,</w:t>
            </w:r>
            <w:r w:rsidR="000C3948" w:rsidRPr="008252E5">
              <w:t xml:space="preserve"> how they</w:t>
            </w:r>
            <w:r w:rsidR="00F97DC3" w:rsidRPr="008252E5">
              <w:t xml:space="preserve"> may relate or interact with each other. </w:t>
            </w:r>
          </w:p>
          <w:p w14:paraId="3C520E5B" w14:textId="77777777" w:rsidR="00F031D7" w:rsidRPr="008252E5" w:rsidRDefault="00F031D7" w:rsidP="00003D69">
            <w:pPr>
              <w:spacing w:after="0"/>
            </w:pPr>
          </w:p>
          <w:p w14:paraId="3C1C3B91" w14:textId="3BA2D765" w:rsidR="004D4210" w:rsidRPr="008252E5" w:rsidRDefault="00DD5913" w:rsidP="008F03C9">
            <w:r w:rsidRPr="008252E5">
              <w:t>T</w:t>
            </w:r>
            <w:r w:rsidR="00F02299" w:rsidRPr="008252E5">
              <w:t>he current</w:t>
            </w:r>
            <w:r w:rsidR="00064967" w:rsidRPr="008252E5">
              <w:t xml:space="preserve"> research misconduct</w:t>
            </w:r>
            <w:r w:rsidR="00F02299" w:rsidRPr="008252E5">
              <w:t xml:space="preserve"> procedure </w:t>
            </w:r>
            <w:r w:rsidR="004E602E" w:rsidRPr="008252E5">
              <w:t>does not provide a process for dealing with</w:t>
            </w:r>
            <w:r w:rsidR="00F02299" w:rsidRPr="008252E5">
              <w:t xml:space="preserve"> </w:t>
            </w:r>
            <w:r w:rsidR="00E30CC7" w:rsidRPr="008252E5">
              <w:t>issues of poor research practice</w:t>
            </w:r>
            <w:r w:rsidR="00925E04" w:rsidRPr="008252E5">
              <w:t>. That is those concerns</w:t>
            </w:r>
            <w:r w:rsidR="00E30CC7" w:rsidRPr="008252E5">
              <w:t xml:space="preserve"> that </w:t>
            </w:r>
            <w:r w:rsidR="00E05AF0" w:rsidRPr="008252E5">
              <w:t>were</w:t>
            </w:r>
            <w:r w:rsidR="00E30CC7" w:rsidRPr="008252E5">
              <w:t xml:space="preserve"> not deliberate or not as serious</w:t>
            </w:r>
            <w:r w:rsidR="00E05AF0" w:rsidRPr="008252E5">
              <w:t xml:space="preserve"> and </w:t>
            </w:r>
            <w:r w:rsidR="005E14EC" w:rsidRPr="008252E5">
              <w:t>therefore should not be investigated via the</w:t>
            </w:r>
            <w:r w:rsidR="00E05AF0" w:rsidRPr="008252E5">
              <w:t xml:space="preserve"> formal</w:t>
            </w:r>
            <w:r w:rsidR="005E14EC" w:rsidRPr="008252E5">
              <w:t xml:space="preserve"> misconduct </w:t>
            </w:r>
            <w:r w:rsidR="00E4543F" w:rsidRPr="008252E5">
              <w:t>procedure</w:t>
            </w:r>
            <w:r w:rsidR="00925E04" w:rsidRPr="008252E5">
              <w:t>. Therefore,</w:t>
            </w:r>
            <w:r w:rsidR="004E602E" w:rsidRPr="008252E5">
              <w:t xml:space="preserve"> a revised misconduct procedure </w:t>
            </w:r>
            <w:r w:rsidR="00B71DF7" w:rsidRPr="008252E5">
              <w:t>has been drafted during 2022-23 and will be approved and implemented in 2023-24</w:t>
            </w:r>
            <w:r w:rsidR="00E4543F" w:rsidRPr="008252E5">
              <w:t xml:space="preserve"> to introduce new methods for dealing with poor research practice issues. </w:t>
            </w:r>
          </w:p>
          <w:p w14:paraId="7E78C8F0" w14:textId="54174C21" w:rsidR="00756023" w:rsidRPr="008252E5" w:rsidRDefault="00B71DF7" w:rsidP="00756023">
            <w:pPr>
              <w:rPr>
                <w:color w:val="FF0000"/>
              </w:rPr>
            </w:pPr>
            <w:r w:rsidRPr="008252E5">
              <w:t>The University will use the opportunity of the new procedure</w:t>
            </w:r>
            <w:r w:rsidR="00F23258" w:rsidRPr="008252E5">
              <w:t>’s release</w:t>
            </w:r>
            <w:r w:rsidRPr="008252E5">
              <w:t xml:space="preserve"> </w:t>
            </w:r>
            <w:r w:rsidR="00F23258" w:rsidRPr="008252E5">
              <w:t xml:space="preserve">to </w:t>
            </w:r>
            <w:r w:rsidR="00D17EF2" w:rsidRPr="008252E5">
              <w:t>promote</w:t>
            </w:r>
            <w:r w:rsidR="002657E8" w:rsidRPr="008252E5">
              <w:t xml:space="preserve"> the importance of raising </w:t>
            </w:r>
            <w:r w:rsidR="00003D69" w:rsidRPr="008252E5">
              <w:t>research</w:t>
            </w:r>
            <w:r w:rsidR="002657E8" w:rsidRPr="008252E5">
              <w:t xml:space="preserve"> concerns across the </w:t>
            </w:r>
            <w:r w:rsidR="00C139E1" w:rsidRPr="008252E5">
              <w:t>research</w:t>
            </w:r>
            <w:r w:rsidR="002657E8" w:rsidRPr="008252E5">
              <w:t xml:space="preserve"> community</w:t>
            </w:r>
            <w:r w:rsidR="00003D69" w:rsidRPr="008252E5">
              <w:t xml:space="preserve">. This will be </w:t>
            </w:r>
            <w:r w:rsidR="00534203" w:rsidRPr="008252E5">
              <w:t>promoted</w:t>
            </w:r>
            <w:r w:rsidR="005A1CF6" w:rsidRPr="008252E5">
              <w:t xml:space="preserve"> alongside other university policies </w:t>
            </w:r>
            <w:r w:rsidR="00534203" w:rsidRPr="008252E5">
              <w:t>to</w:t>
            </w:r>
            <w:r w:rsidR="005A1CF6" w:rsidRPr="008252E5">
              <w:t xml:space="preserve"> ensure </w:t>
            </w:r>
            <w:r w:rsidR="00771E41" w:rsidRPr="008252E5">
              <w:t>the continuation</w:t>
            </w:r>
            <w:r w:rsidR="00025DA7" w:rsidRPr="008252E5">
              <w:t xml:space="preserve"> and </w:t>
            </w:r>
            <w:r w:rsidR="003D77FC" w:rsidRPr="008252E5">
              <w:t>strengthening</w:t>
            </w:r>
            <w:r w:rsidR="00771E41" w:rsidRPr="008252E5">
              <w:t xml:space="preserve"> of </w:t>
            </w:r>
            <w:r w:rsidR="005A1CF6" w:rsidRPr="008252E5">
              <w:t>a</w:t>
            </w:r>
            <w:r w:rsidR="00C139E1" w:rsidRPr="008252E5">
              <w:t xml:space="preserve">n </w:t>
            </w:r>
            <w:r w:rsidR="005A1CF6" w:rsidRPr="008252E5">
              <w:t xml:space="preserve">environment where researchers are confident that concerns are heard and investigated appropriately. </w:t>
            </w:r>
            <w:r w:rsidR="00025DA7" w:rsidRPr="008252E5">
              <w:t>In addition, w</w:t>
            </w:r>
            <w:r w:rsidR="00C139E1" w:rsidRPr="008252E5">
              <w:t xml:space="preserve">here possible, references to the University’s misconduct process will also be integrated into the new integrity training provision. </w:t>
            </w:r>
          </w:p>
          <w:p w14:paraId="2FAFB891" w14:textId="35BD2877" w:rsidR="00970E10" w:rsidRPr="008252E5" w:rsidRDefault="007246B9" w:rsidP="00BD5090">
            <w:pPr>
              <w:rPr>
                <w:b/>
                <w:bCs/>
              </w:rPr>
            </w:pPr>
            <w:r w:rsidRPr="008252E5">
              <w:lastRenderedPageBreak/>
              <w:t>Four</w:t>
            </w:r>
            <w:r w:rsidR="00756023" w:rsidRPr="008252E5">
              <w:t xml:space="preserve"> research misconduct </w:t>
            </w:r>
            <w:r w:rsidR="001F3100" w:rsidRPr="008252E5">
              <w:t>concerns</w:t>
            </w:r>
            <w:r w:rsidR="00756023" w:rsidRPr="008252E5">
              <w:t xml:space="preserve"> were raised in </w:t>
            </w:r>
            <w:r w:rsidRPr="008252E5">
              <w:t xml:space="preserve">2022-23 (see below table). These were </w:t>
            </w:r>
            <w:r w:rsidR="00C73854" w:rsidRPr="008252E5">
              <w:t xml:space="preserve">all self-reported issues of </w:t>
            </w:r>
            <w:r w:rsidR="00056F99" w:rsidRPr="008252E5">
              <w:t xml:space="preserve">non-deliberate breeches of our ethical approval process. </w:t>
            </w:r>
            <w:r w:rsidR="00BD5090" w:rsidRPr="008252E5">
              <w:t>I</w:t>
            </w:r>
            <w:r w:rsidR="00642319" w:rsidRPr="008252E5">
              <w:t xml:space="preserve">t was agreed that no formal investigations needed to take place as </w:t>
            </w:r>
            <w:r w:rsidR="001F3100" w:rsidRPr="008252E5">
              <w:t>all issues</w:t>
            </w:r>
            <w:r w:rsidR="00642319" w:rsidRPr="008252E5">
              <w:t xml:space="preserve"> </w:t>
            </w:r>
            <w:r w:rsidR="00BD5090" w:rsidRPr="008252E5">
              <w:t xml:space="preserve">were due to </w:t>
            </w:r>
            <w:r w:rsidR="006275A1" w:rsidRPr="008252E5">
              <w:t xml:space="preserve">misunderstandings. Action was taken in year by the relevant departments to highlight the proper ethics processes </w:t>
            </w:r>
            <w:r w:rsidR="00BD5090" w:rsidRPr="008252E5">
              <w:t>to the research community and Lancaster’s process will be included in the new ethics training provision to be rolled out in 2023-24.</w:t>
            </w:r>
          </w:p>
        </w:tc>
      </w:tr>
      <w:tr w:rsidR="00F617DE" w:rsidRPr="008252E5" w14:paraId="51E2C201" w14:textId="77777777" w:rsidTr="767359A8">
        <w:tc>
          <w:tcPr>
            <w:tcW w:w="9493" w:type="dxa"/>
            <w:gridSpan w:val="5"/>
            <w:shd w:val="clear" w:color="auto" w:fill="auto"/>
          </w:tcPr>
          <w:p w14:paraId="4DCE7CE0" w14:textId="540B51FA" w:rsidR="00F617DE" w:rsidRPr="008252E5" w:rsidRDefault="00F617DE" w:rsidP="00727604">
            <w:pPr>
              <w:pStyle w:val="BodyText"/>
              <w:spacing w:after="0"/>
              <w:rPr>
                <w:rStyle w:val="HighlightBold"/>
              </w:rPr>
            </w:pPr>
            <w:r w:rsidRPr="008252E5">
              <w:rPr>
                <w:rStyle w:val="HighlightBold"/>
              </w:rPr>
              <w:lastRenderedPageBreak/>
              <w:t>3B</w:t>
            </w:r>
            <w:r w:rsidR="008D07FE" w:rsidRPr="008252E5">
              <w:rPr>
                <w:rStyle w:val="HighlightBold"/>
              </w:rPr>
              <w:t>.</w:t>
            </w:r>
            <w:r w:rsidRPr="008252E5">
              <w:rPr>
                <w:rStyle w:val="HighlightBold"/>
              </w:rPr>
              <w:t xml:space="preserve"> Information on investigations of research misconduct that have been undertaken</w:t>
            </w:r>
            <w:r w:rsidR="00727604" w:rsidRPr="008252E5">
              <w:rPr>
                <w:rStyle w:val="HighlightBold"/>
              </w:rPr>
              <w:t>.</w:t>
            </w:r>
          </w:p>
          <w:p w14:paraId="6DF7AE33" w14:textId="57A733A8" w:rsidR="00F617DE" w:rsidRPr="008252E5" w:rsidRDefault="00F617DE" w:rsidP="00727604">
            <w:pPr>
              <w:pStyle w:val="BodyText"/>
              <w:rPr>
                <w:i/>
                <w:iCs/>
              </w:rPr>
            </w:pPr>
            <w:r w:rsidRPr="008252E5">
              <w:rPr>
                <w:i/>
                <w:iCs/>
                <w:sz w:val="22"/>
                <w:szCs w:val="22"/>
              </w:rPr>
              <w:t xml:space="preserve">Please complete the table on the number of </w:t>
            </w:r>
            <w:r w:rsidR="00B96104" w:rsidRPr="008252E5">
              <w:rPr>
                <w:rStyle w:val="HighlightBold"/>
                <w:i/>
                <w:iCs/>
                <w:sz w:val="22"/>
                <w:szCs w:val="22"/>
              </w:rPr>
              <w:t xml:space="preserve">formal </w:t>
            </w:r>
            <w:r w:rsidRPr="008252E5">
              <w:rPr>
                <w:rStyle w:val="HighlightBold"/>
                <w:i/>
                <w:iCs/>
                <w:sz w:val="22"/>
                <w:szCs w:val="22"/>
              </w:rPr>
              <w:t>investigations completed during the period under review</w:t>
            </w:r>
            <w:r w:rsidRPr="008252E5">
              <w:rPr>
                <w:i/>
                <w:iCs/>
                <w:sz w:val="22"/>
                <w:szCs w:val="22"/>
              </w:rPr>
              <w:t xml:space="preserve"> (including investigations which completed during this period but started in a previous academic year). Information from ongoing investigations should not be submitted.</w:t>
            </w:r>
            <w:r w:rsidR="00596CE5" w:rsidRPr="008252E5">
              <w:rPr>
                <w:i/>
                <w:iCs/>
                <w:sz w:val="22"/>
                <w:szCs w:val="22"/>
              </w:rPr>
              <w:t xml:space="preserve"> </w:t>
            </w:r>
            <w:r w:rsidR="00F84C36" w:rsidRPr="008252E5">
              <w:rPr>
                <w:i/>
                <w:iCs/>
                <w:sz w:val="22"/>
                <w:szCs w:val="22"/>
              </w:rPr>
              <w:t xml:space="preserve">An organisation’s </w:t>
            </w:r>
            <w:r w:rsidR="00AF0349" w:rsidRPr="008252E5">
              <w:rPr>
                <w:i/>
                <w:iCs/>
                <w:sz w:val="22"/>
                <w:szCs w:val="22"/>
              </w:rPr>
              <w:t>procedure may include a</w:t>
            </w:r>
            <w:r w:rsidR="0021238C" w:rsidRPr="008252E5">
              <w:rPr>
                <w:i/>
                <w:iCs/>
                <w:sz w:val="22"/>
                <w:szCs w:val="22"/>
              </w:rPr>
              <w:t>n</w:t>
            </w:r>
            <w:r w:rsidR="00AF0349" w:rsidRPr="008252E5">
              <w:rPr>
                <w:i/>
                <w:iCs/>
                <w:sz w:val="22"/>
                <w:szCs w:val="22"/>
              </w:rPr>
              <w:t xml:space="preserve"> </w:t>
            </w:r>
            <w:r w:rsidR="00967C63" w:rsidRPr="008252E5">
              <w:rPr>
                <w:i/>
                <w:iCs/>
                <w:sz w:val="22"/>
                <w:szCs w:val="22"/>
              </w:rPr>
              <w:t>initial</w:t>
            </w:r>
            <w:r w:rsidR="0021238C" w:rsidRPr="008252E5">
              <w:rPr>
                <w:i/>
                <w:iCs/>
                <w:sz w:val="22"/>
                <w:szCs w:val="22"/>
              </w:rPr>
              <w:t xml:space="preserve">, </w:t>
            </w:r>
            <w:r w:rsidR="00AF0349" w:rsidRPr="008252E5">
              <w:rPr>
                <w:i/>
                <w:iCs/>
                <w:sz w:val="22"/>
                <w:szCs w:val="22"/>
              </w:rPr>
              <w:t>preliminary</w:t>
            </w:r>
            <w:r w:rsidR="004E6E02" w:rsidRPr="008252E5">
              <w:rPr>
                <w:i/>
                <w:iCs/>
                <w:sz w:val="22"/>
                <w:szCs w:val="22"/>
              </w:rPr>
              <w:t>,</w:t>
            </w:r>
            <w:r w:rsidR="00AF0349" w:rsidRPr="008252E5">
              <w:rPr>
                <w:i/>
                <w:iCs/>
                <w:sz w:val="22"/>
                <w:szCs w:val="22"/>
              </w:rPr>
              <w:t xml:space="preserve"> or screening sta</w:t>
            </w:r>
            <w:r w:rsidR="009E6A88" w:rsidRPr="008252E5">
              <w:rPr>
                <w:i/>
                <w:iCs/>
                <w:sz w:val="22"/>
                <w:szCs w:val="22"/>
              </w:rPr>
              <w:t xml:space="preserve">ge to determine whether a formal investigation needs to be completed. These allegations should be </w:t>
            </w:r>
            <w:r w:rsidR="00C90B59" w:rsidRPr="008252E5">
              <w:rPr>
                <w:i/>
                <w:iCs/>
                <w:sz w:val="22"/>
                <w:szCs w:val="22"/>
              </w:rPr>
              <w:t>included</w:t>
            </w:r>
            <w:r w:rsidR="009E6A88" w:rsidRPr="008252E5">
              <w:rPr>
                <w:i/>
                <w:iCs/>
                <w:sz w:val="22"/>
                <w:szCs w:val="22"/>
              </w:rPr>
              <w:t xml:space="preserve"> </w:t>
            </w:r>
            <w:r w:rsidR="00C90B59" w:rsidRPr="008252E5">
              <w:rPr>
                <w:i/>
                <w:iCs/>
                <w:sz w:val="22"/>
                <w:szCs w:val="22"/>
              </w:rPr>
              <w:t>in</w:t>
            </w:r>
            <w:r w:rsidR="009E6A88" w:rsidRPr="008252E5">
              <w:rPr>
                <w:i/>
                <w:iCs/>
                <w:sz w:val="22"/>
                <w:szCs w:val="22"/>
              </w:rPr>
              <w:t xml:space="preserve"> the first column</w:t>
            </w:r>
            <w:r w:rsidR="00EF5F25" w:rsidRPr="008252E5">
              <w:rPr>
                <w:i/>
                <w:iCs/>
                <w:sz w:val="22"/>
                <w:szCs w:val="22"/>
              </w:rPr>
              <w:t xml:space="preserve"> but only those that proceeded past this stage, to formal investigations, should be </w:t>
            </w:r>
            <w:r w:rsidR="00C90B59" w:rsidRPr="008252E5">
              <w:rPr>
                <w:i/>
                <w:iCs/>
                <w:sz w:val="22"/>
                <w:szCs w:val="22"/>
              </w:rPr>
              <w:t>included</w:t>
            </w:r>
            <w:r w:rsidR="00EF5F25" w:rsidRPr="008252E5">
              <w:rPr>
                <w:i/>
                <w:iCs/>
                <w:sz w:val="22"/>
                <w:szCs w:val="22"/>
              </w:rPr>
              <w:t xml:space="preserve"> in the second column</w:t>
            </w:r>
            <w:r w:rsidR="00EF5F25" w:rsidRPr="008252E5">
              <w:rPr>
                <w:i/>
                <w:iCs/>
              </w:rPr>
              <w:t>.</w:t>
            </w:r>
          </w:p>
        </w:tc>
      </w:tr>
      <w:tr w:rsidR="00F617DE" w:rsidRPr="008252E5" w14:paraId="6485A03B" w14:textId="77777777" w:rsidTr="767359A8">
        <w:tc>
          <w:tcPr>
            <w:tcW w:w="2085" w:type="dxa"/>
            <w:vMerge w:val="restart"/>
            <w:shd w:val="clear" w:color="auto" w:fill="auto"/>
            <w:vAlign w:val="center"/>
          </w:tcPr>
          <w:p w14:paraId="0339745D" w14:textId="77777777" w:rsidR="00F617DE" w:rsidRPr="008252E5" w:rsidRDefault="00F617DE" w:rsidP="000848B5">
            <w:pPr>
              <w:pStyle w:val="BodyText"/>
              <w:spacing w:after="0" w:line="240" w:lineRule="auto"/>
              <w:rPr>
                <w:rStyle w:val="HighlightBold"/>
              </w:rPr>
            </w:pPr>
            <w:r w:rsidRPr="008252E5">
              <w:rPr>
                <w:rStyle w:val="HighlightBold"/>
              </w:rPr>
              <w:t>Type of allegation</w:t>
            </w:r>
          </w:p>
        </w:tc>
        <w:tc>
          <w:tcPr>
            <w:tcW w:w="7408" w:type="dxa"/>
            <w:gridSpan w:val="4"/>
            <w:shd w:val="clear" w:color="auto" w:fill="auto"/>
            <w:vAlign w:val="center"/>
          </w:tcPr>
          <w:p w14:paraId="4E31B8A6" w14:textId="77777777" w:rsidR="00F617DE" w:rsidRPr="008252E5" w:rsidRDefault="00F617DE" w:rsidP="000848B5">
            <w:pPr>
              <w:pStyle w:val="BodyText"/>
              <w:spacing w:after="0" w:line="240" w:lineRule="auto"/>
              <w:jc w:val="center"/>
              <w:rPr>
                <w:rStyle w:val="HighlightBold"/>
              </w:rPr>
            </w:pPr>
            <w:r w:rsidRPr="008252E5">
              <w:rPr>
                <w:rStyle w:val="HighlightBold"/>
              </w:rPr>
              <w:t xml:space="preserve">Number of allegations </w:t>
            </w:r>
          </w:p>
        </w:tc>
      </w:tr>
      <w:tr w:rsidR="00791871" w:rsidRPr="008252E5" w14:paraId="22B4CE2E" w14:textId="77777777" w:rsidTr="767359A8">
        <w:tc>
          <w:tcPr>
            <w:tcW w:w="2085" w:type="dxa"/>
            <w:vMerge/>
            <w:vAlign w:val="center"/>
          </w:tcPr>
          <w:p w14:paraId="7560E5CD" w14:textId="77777777" w:rsidR="00F617DE" w:rsidRPr="008252E5" w:rsidRDefault="00F617DE" w:rsidP="000848B5">
            <w:pPr>
              <w:pStyle w:val="BodyText"/>
              <w:spacing w:after="0" w:line="240" w:lineRule="auto"/>
              <w:rPr>
                <w:rStyle w:val="HighlightBold"/>
              </w:rPr>
            </w:pPr>
          </w:p>
        </w:tc>
        <w:tc>
          <w:tcPr>
            <w:tcW w:w="1852" w:type="dxa"/>
            <w:shd w:val="clear" w:color="auto" w:fill="auto"/>
            <w:vAlign w:val="center"/>
          </w:tcPr>
          <w:p w14:paraId="215CD8AB" w14:textId="77777777" w:rsidR="00F617DE" w:rsidRPr="008252E5" w:rsidRDefault="00D37628" w:rsidP="000848B5">
            <w:pPr>
              <w:pStyle w:val="BodyText"/>
              <w:spacing w:after="0" w:line="240" w:lineRule="auto"/>
              <w:jc w:val="center"/>
              <w:rPr>
                <w:rStyle w:val="HighlightBold"/>
              </w:rPr>
            </w:pPr>
            <w:r w:rsidRPr="008252E5">
              <w:rPr>
                <w:rStyle w:val="HighlightBold"/>
              </w:rPr>
              <w:t>N</w:t>
            </w:r>
            <w:r w:rsidR="00292C74" w:rsidRPr="008252E5">
              <w:rPr>
                <w:rStyle w:val="HighlightBold"/>
              </w:rPr>
              <w:t xml:space="preserve">umber of allegations reported to the organisation </w:t>
            </w:r>
          </w:p>
        </w:tc>
        <w:tc>
          <w:tcPr>
            <w:tcW w:w="1852" w:type="dxa"/>
            <w:shd w:val="clear" w:color="auto" w:fill="auto"/>
            <w:vAlign w:val="center"/>
          </w:tcPr>
          <w:p w14:paraId="01F0E0E1" w14:textId="77777777" w:rsidR="00F617DE" w:rsidRPr="008252E5" w:rsidRDefault="00D37628" w:rsidP="000848B5">
            <w:pPr>
              <w:pStyle w:val="BodyText"/>
              <w:spacing w:after="0" w:line="240" w:lineRule="auto"/>
              <w:jc w:val="center"/>
              <w:rPr>
                <w:rStyle w:val="HighlightBold"/>
              </w:rPr>
            </w:pPr>
            <w:r w:rsidRPr="008252E5">
              <w:rPr>
                <w:rStyle w:val="HighlightBold"/>
              </w:rPr>
              <w:t>N</w:t>
            </w:r>
            <w:r w:rsidR="007D0F06" w:rsidRPr="008252E5">
              <w:rPr>
                <w:rStyle w:val="HighlightBold"/>
              </w:rPr>
              <w:t xml:space="preserve">umber </w:t>
            </w:r>
            <w:r w:rsidR="00B903B4" w:rsidRPr="008252E5">
              <w:rPr>
                <w:rStyle w:val="HighlightBold"/>
              </w:rPr>
              <w:t>of formal investigations</w:t>
            </w:r>
          </w:p>
        </w:tc>
        <w:tc>
          <w:tcPr>
            <w:tcW w:w="1852" w:type="dxa"/>
            <w:shd w:val="clear" w:color="auto" w:fill="auto"/>
            <w:vAlign w:val="center"/>
          </w:tcPr>
          <w:p w14:paraId="10EFD987" w14:textId="77777777" w:rsidR="00F617DE" w:rsidRPr="008252E5" w:rsidRDefault="00D37628" w:rsidP="000848B5">
            <w:pPr>
              <w:pStyle w:val="BodyText"/>
              <w:spacing w:after="0" w:line="240" w:lineRule="auto"/>
              <w:jc w:val="center"/>
              <w:rPr>
                <w:rStyle w:val="HighlightBold"/>
              </w:rPr>
            </w:pPr>
            <w:r w:rsidRPr="008252E5">
              <w:rPr>
                <w:rStyle w:val="HighlightBold"/>
              </w:rPr>
              <w:t>N</w:t>
            </w:r>
            <w:r w:rsidR="00B903B4" w:rsidRPr="008252E5">
              <w:rPr>
                <w:rStyle w:val="HighlightBold"/>
              </w:rPr>
              <w:t xml:space="preserve">umber </w:t>
            </w:r>
            <w:r w:rsidR="00F617DE" w:rsidRPr="008252E5">
              <w:rPr>
                <w:rStyle w:val="HighlightBold"/>
              </w:rPr>
              <w:t>upheld in part</w:t>
            </w:r>
            <w:r w:rsidR="00791871" w:rsidRPr="008252E5">
              <w:rPr>
                <w:rStyle w:val="HighlightBold"/>
              </w:rPr>
              <w:t xml:space="preserve"> </w:t>
            </w:r>
            <w:r w:rsidR="00F617DE" w:rsidRPr="008252E5">
              <w:rPr>
                <w:rStyle w:val="HighlightBold"/>
              </w:rPr>
              <w:t xml:space="preserve">after </w:t>
            </w:r>
            <w:r w:rsidR="00791871" w:rsidRPr="008252E5">
              <w:rPr>
                <w:rStyle w:val="HighlightBold"/>
              </w:rPr>
              <w:t xml:space="preserve">formal </w:t>
            </w:r>
            <w:r w:rsidR="00F617DE" w:rsidRPr="008252E5">
              <w:rPr>
                <w:rStyle w:val="HighlightBold"/>
              </w:rPr>
              <w:t>investigation</w:t>
            </w:r>
          </w:p>
        </w:tc>
        <w:tc>
          <w:tcPr>
            <w:tcW w:w="1852" w:type="dxa"/>
            <w:shd w:val="clear" w:color="auto" w:fill="auto"/>
            <w:vAlign w:val="center"/>
          </w:tcPr>
          <w:p w14:paraId="5C78D5F4" w14:textId="77777777" w:rsidR="00F617DE" w:rsidRPr="008252E5" w:rsidRDefault="00D37628" w:rsidP="000848B5">
            <w:pPr>
              <w:pStyle w:val="BodyText"/>
              <w:spacing w:after="0" w:line="240" w:lineRule="auto"/>
              <w:jc w:val="center"/>
              <w:rPr>
                <w:rStyle w:val="HighlightBold"/>
              </w:rPr>
            </w:pPr>
            <w:r w:rsidRPr="008252E5">
              <w:rPr>
                <w:rStyle w:val="HighlightBold"/>
              </w:rPr>
              <w:t>N</w:t>
            </w:r>
            <w:r w:rsidR="00B903B4" w:rsidRPr="008252E5">
              <w:rPr>
                <w:rStyle w:val="HighlightBold"/>
              </w:rPr>
              <w:t xml:space="preserve">umber </w:t>
            </w:r>
            <w:r w:rsidR="00844507" w:rsidRPr="008252E5">
              <w:rPr>
                <w:rStyle w:val="HighlightBold"/>
              </w:rPr>
              <w:t>upheld in full after formal investigation</w:t>
            </w:r>
          </w:p>
        </w:tc>
      </w:tr>
      <w:tr w:rsidR="00CF11AA" w:rsidRPr="008252E5" w14:paraId="7EA0DCD0" w14:textId="77777777" w:rsidTr="767359A8">
        <w:tc>
          <w:tcPr>
            <w:tcW w:w="2085" w:type="dxa"/>
            <w:shd w:val="clear" w:color="auto" w:fill="auto"/>
          </w:tcPr>
          <w:p w14:paraId="0D567AB4" w14:textId="77777777" w:rsidR="00CF11AA" w:rsidRPr="008252E5" w:rsidRDefault="00CF11AA" w:rsidP="000848B5">
            <w:pPr>
              <w:pStyle w:val="BodyText"/>
              <w:spacing w:after="0" w:line="240" w:lineRule="auto"/>
              <w:rPr>
                <w:rFonts w:cs="Calibri Light"/>
              </w:rPr>
            </w:pPr>
            <w:r w:rsidRPr="008252E5">
              <w:rPr>
                <w:rFonts w:cs="Calibri Light"/>
                <w:bCs/>
              </w:rPr>
              <w:t>Fabrication</w:t>
            </w:r>
          </w:p>
        </w:tc>
        <w:tc>
          <w:tcPr>
            <w:tcW w:w="1852" w:type="dxa"/>
            <w:shd w:val="clear" w:color="auto" w:fill="auto"/>
            <w:vAlign w:val="center"/>
          </w:tcPr>
          <w:p w14:paraId="49AE0383"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33C9944E"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574B3466"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7B261281" w14:textId="77777777" w:rsidR="00CF11AA" w:rsidRPr="008252E5" w:rsidRDefault="00CF11AA" w:rsidP="000848B5">
            <w:pPr>
              <w:pStyle w:val="BodyText"/>
              <w:spacing w:after="0" w:line="240" w:lineRule="auto"/>
              <w:jc w:val="center"/>
              <w:rPr>
                <w:rFonts w:cs="Calibri Light"/>
                <w:i/>
                <w:iCs/>
              </w:rPr>
            </w:pPr>
          </w:p>
        </w:tc>
      </w:tr>
      <w:tr w:rsidR="00CF11AA" w:rsidRPr="008252E5" w14:paraId="148086C1" w14:textId="77777777" w:rsidTr="767359A8">
        <w:tc>
          <w:tcPr>
            <w:tcW w:w="2085" w:type="dxa"/>
            <w:shd w:val="clear" w:color="auto" w:fill="auto"/>
          </w:tcPr>
          <w:p w14:paraId="7C4424CD" w14:textId="77777777" w:rsidR="00CF11AA" w:rsidRPr="008252E5" w:rsidRDefault="00CF11AA" w:rsidP="000848B5">
            <w:pPr>
              <w:pStyle w:val="BodyText"/>
              <w:spacing w:after="0" w:line="240" w:lineRule="auto"/>
              <w:rPr>
                <w:rFonts w:cs="Calibri Light"/>
              </w:rPr>
            </w:pPr>
            <w:r w:rsidRPr="008252E5">
              <w:rPr>
                <w:rFonts w:cs="Calibri Light"/>
                <w:bCs/>
              </w:rPr>
              <w:t>Falsification</w:t>
            </w:r>
          </w:p>
        </w:tc>
        <w:tc>
          <w:tcPr>
            <w:tcW w:w="1852" w:type="dxa"/>
            <w:shd w:val="clear" w:color="auto" w:fill="auto"/>
          </w:tcPr>
          <w:p w14:paraId="5D44B572"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2FF1C2B0"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68C69F78"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26E0AE04" w14:textId="77777777" w:rsidR="00CF11AA" w:rsidRPr="008252E5" w:rsidRDefault="00CF11AA" w:rsidP="000848B5">
            <w:pPr>
              <w:pStyle w:val="BodyText"/>
              <w:spacing w:after="0" w:line="240" w:lineRule="auto"/>
              <w:jc w:val="center"/>
              <w:rPr>
                <w:rFonts w:cs="Calibri Light"/>
                <w:i/>
                <w:iCs/>
              </w:rPr>
            </w:pPr>
          </w:p>
        </w:tc>
      </w:tr>
      <w:tr w:rsidR="00CF11AA" w:rsidRPr="008252E5" w14:paraId="4989795D" w14:textId="77777777" w:rsidTr="767359A8">
        <w:tc>
          <w:tcPr>
            <w:tcW w:w="2085" w:type="dxa"/>
            <w:shd w:val="clear" w:color="auto" w:fill="auto"/>
          </w:tcPr>
          <w:p w14:paraId="21BE4F8A" w14:textId="77777777" w:rsidR="00CF11AA" w:rsidRPr="008252E5" w:rsidRDefault="00CF11AA" w:rsidP="000848B5">
            <w:pPr>
              <w:pStyle w:val="BodyText"/>
              <w:spacing w:after="0" w:line="240" w:lineRule="auto"/>
              <w:rPr>
                <w:rFonts w:cs="Calibri Light"/>
              </w:rPr>
            </w:pPr>
            <w:r w:rsidRPr="008252E5">
              <w:rPr>
                <w:rFonts w:cs="Calibri Light"/>
                <w:bCs/>
              </w:rPr>
              <w:t>Plagiarism</w:t>
            </w:r>
          </w:p>
        </w:tc>
        <w:tc>
          <w:tcPr>
            <w:tcW w:w="1852" w:type="dxa"/>
            <w:shd w:val="clear" w:color="auto" w:fill="auto"/>
          </w:tcPr>
          <w:p w14:paraId="1CFE282B"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5D57B497"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08B7DCD3"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109F4793" w14:textId="77777777" w:rsidR="00CF11AA" w:rsidRPr="008252E5" w:rsidRDefault="00CF11AA" w:rsidP="000848B5">
            <w:pPr>
              <w:pStyle w:val="BodyText"/>
              <w:spacing w:after="0" w:line="240" w:lineRule="auto"/>
              <w:jc w:val="center"/>
              <w:rPr>
                <w:rFonts w:cs="Calibri Light"/>
                <w:i/>
                <w:iCs/>
              </w:rPr>
            </w:pPr>
          </w:p>
        </w:tc>
      </w:tr>
      <w:tr w:rsidR="00CF11AA" w:rsidRPr="008252E5" w14:paraId="14ACDB43" w14:textId="77777777" w:rsidTr="767359A8">
        <w:tc>
          <w:tcPr>
            <w:tcW w:w="2085" w:type="dxa"/>
            <w:shd w:val="clear" w:color="auto" w:fill="auto"/>
          </w:tcPr>
          <w:p w14:paraId="3A01D002" w14:textId="77777777" w:rsidR="00CF11AA" w:rsidRPr="008252E5" w:rsidRDefault="00CF11AA" w:rsidP="000848B5">
            <w:pPr>
              <w:pStyle w:val="BodyText"/>
              <w:spacing w:after="0" w:line="240" w:lineRule="auto"/>
              <w:rPr>
                <w:rFonts w:cs="Calibri Light"/>
              </w:rPr>
            </w:pPr>
            <w:r w:rsidRPr="008252E5">
              <w:rPr>
                <w:rFonts w:cs="Calibri Light"/>
                <w:bCs/>
              </w:rPr>
              <w:t xml:space="preserve">Failure to meet legal, ethical and professional obligations </w:t>
            </w:r>
          </w:p>
        </w:tc>
        <w:tc>
          <w:tcPr>
            <w:tcW w:w="1852" w:type="dxa"/>
            <w:shd w:val="clear" w:color="auto" w:fill="auto"/>
          </w:tcPr>
          <w:p w14:paraId="7295B3CA" w14:textId="3B4E2731" w:rsidR="00CF11AA" w:rsidRPr="008252E5" w:rsidRDefault="008347D3" w:rsidP="000848B5">
            <w:pPr>
              <w:pStyle w:val="BodyText"/>
              <w:spacing w:after="0" w:line="240" w:lineRule="auto"/>
              <w:jc w:val="center"/>
              <w:rPr>
                <w:rFonts w:cs="Calibri Light"/>
                <w:i/>
                <w:iCs/>
              </w:rPr>
            </w:pPr>
            <w:r w:rsidRPr="008252E5">
              <w:rPr>
                <w:rFonts w:cs="Calibri Light"/>
                <w:i/>
                <w:iCs/>
              </w:rPr>
              <w:t>4</w:t>
            </w:r>
          </w:p>
        </w:tc>
        <w:tc>
          <w:tcPr>
            <w:tcW w:w="1852" w:type="dxa"/>
            <w:shd w:val="clear" w:color="auto" w:fill="auto"/>
          </w:tcPr>
          <w:p w14:paraId="741F4F21" w14:textId="404262DC" w:rsidR="00CF11AA" w:rsidRPr="008252E5" w:rsidRDefault="008347D3" w:rsidP="000848B5">
            <w:pPr>
              <w:pStyle w:val="BodyText"/>
              <w:spacing w:after="0" w:line="240" w:lineRule="auto"/>
              <w:jc w:val="center"/>
              <w:rPr>
                <w:rFonts w:cs="Calibri Light"/>
                <w:i/>
                <w:iCs/>
              </w:rPr>
            </w:pPr>
            <w:r w:rsidRPr="008252E5">
              <w:rPr>
                <w:rFonts w:cs="Calibri Light"/>
                <w:i/>
                <w:iCs/>
              </w:rPr>
              <w:t>0</w:t>
            </w:r>
          </w:p>
        </w:tc>
        <w:tc>
          <w:tcPr>
            <w:tcW w:w="1852" w:type="dxa"/>
            <w:shd w:val="clear" w:color="auto" w:fill="auto"/>
          </w:tcPr>
          <w:p w14:paraId="702BA3D7" w14:textId="0B5D1B3D" w:rsidR="00CF11AA" w:rsidRPr="008252E5" w:rsidRDefault="00AD1CF1" w:rsidP="000848B5">
            <w:pPr>
              <w:pStyle w:val="BodyText"/>
              <w:spacing w:after="0" w:line="240" w:lineRule="auto"/>
              <w:jc w:val="center"/>
              <w:rPr>
                <w:rFonts w:cs="Calibri Light"/>
                <w:i/>
                <w:iCs/>
              </w:rPr>
            </w:pPr>
            <w:r w:rsidRPr="008252E5">
              <w:rPr>
                <w:rFonts w:cs="Calibri Light"/>
                <w:i/>
                <w:iCs/>
              </w:rPr>
              <w:t>-</w:t>
            </w:r>
          </w:p>
        </w:tc>
        <w:tc>
          <w:tcPr>
            <w:tcW w:w="1852" w:type="dxa"/>
            <w:shd w:val="clear" w:color="auto" w:fill="auto"/>
          </w:tcPr>
          <w:p w14:paraId="55395CE0" w14:textId="0DEAA0B8" w:rsidR="00CF11AA" w:rsidRPr="008252E5" w:rsidRDefault="00AD1CF1" w:rsidP="000848B5">
            <w:pPr>
              <w:pStyle w:val="BodyText"/>
              <w:spacing w:after="0" w:line="240" w:lineRule="auto"/>
              <w:jc w:val="center"/>
              <w:rPr>
                <w:rFonts w:cs="Calibri Light"/>
                <w:i/>
                <w:iCs/>
              </w:rPr>
            </w:pPr>
            <w:r w:rsidRPr="008252E5">
              <w:rPr>
                <w:rFonts w:cs="Calibri Light"/>
                <w:i/>
                <w:iCs/>
              </w:rPr>
              <w:t>-</w:t>
            </w:r>
          </w:p>
        </w:tc>
      </w:tr>
      <w:tr w:rsidR="00CF11AA" w:rsidRPr="008252E5" w14:paraId="398724D4" w14:textId="77777777" w:rsidTr="767359A8">
        <w:tc>
          <w:tcPr>
            <w:tcW w:w="2085" w:type="dxa"/>
            <w:shd w:val="clear" w:color="auto" w:fill="auto"/>
          </w:tcPr>
          <w:p w14:paraId="466463AB" w14:textId="77777777" w:rsidR="00CF11AA" w:rsidRPr="008252E5" w:rsidRDefault="00CF11AA" w:rsidP="000848B5">
            <w:pPr>
              <w:pStyle w:val="BodyText"/>
              <w:spacing w:after="0" w:line="240" w:lineRule="auto"/>
              <w:rPr>
                <w:rFonts w:cs="Calibri Light"/>
              </w:rPr>
            </w:pPr>
            <w:r w:rsidRPr="008252E5">
              <w:rPr>
                <w:rFonts w:cs="Calibri Light"/>
                <w:bCs/>
              </w:rPr>
              <w:t>Misrepresentation (</w:t>
            </w:r>
            <w:proofErr w:type="spellStart"/>
            <w:r w:rsidR="00C511BD" w:rsidRPr="008252E5">
              <w:rPr>
                <w:rFonts w:cs="Calibri Light"/>
                <w:bCs/>
              </w:rPr>
              <w:t>eg</w:t>
            </w:r>
            <w:proofErr w:type="spellEnd"/>
            <w:r w:rsidRPr="008252E5">
              <w:rPr>
                <w:rFonts w:cs="Calibri Light"/>
                <w:bCs/>
              </w:rPr>
              <w:t xml:space="preserve"> data; involvement; interests; qualification; and/or publication history) </w:t>
            </w:r>
          </w:p>
        </w:tc>
        <w:tc>
          <w:tcPr>
            <w:tcW w:w="1852" w:type="dxa"/>
            <w:shd w:val="clear" w:color="auto" w:fill="auto"/>
          </w:tcPr>
          <w:p w14:paraId="14507828"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6E1E529F"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1C549187"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735FB3F1" w14:textId="77777777" w:rsidR="00CF11AA" w:rsidRPr="008252E5" w:rsidRDefault="00CF11AA" w:rsidP="000848B5">
            <w:pPr>
              <w:pStyle w:val="BodyText"/>
              <w:spacing w:after="0" w:line="240" w:lineRule="auto"/>
              <w:jc w:val="center"/>
              <w:rPr>
                <w:rFonts w:cs="Calibri Light"/>
                <w:i/>
                <w:iCs/>
              </w:rPr>
            </w:pPr>
          </w:p>
        </w:tc>
      </w:tr>
      <w:tr w:rsidR="00CF11AA" w:rsidRPr="008252E5" w14:paraId="773C2F3F" w14:textId="77777777" w:rsidTr="767359A8">
        <w:tc>
          <w:tcPr>
            <w:tcW w:w="2085" w:type="dxa"/>
            <w:shd w:val="clear" w:color="auto" w:fill="auto"/>
          </w:tcPr>
          <w:p w14:paraId="109CB1A9" w14:textId="77777777" w:rsidR="00CF11AA" w:rsidRPr="008252E5" w:rsidRDefault="00CF11AA" w:rsidP="000848B5">
            <w:pPr>
              <w:pStyle w:val="BodyText"/>
              <w:spacing w:after="0" w:line="240" w:lineRule="auto"/>
              <w:rPr>
                <w:rFonts w:cs="Calibri Light"/>
              </w:rPr>
            </w:pPr>
            <w:r w:rsidRPr="008252E5">
              <w:rPr>
                <w:rFonts w:cs="Calibri Light"/>
                <w:bCs/>
              </w:rPr>
              <w:t xml:space="preserve">Improper dealing with allegations of misconduct </w:t>
            </w:r>
          </w:p>
        </w:tc>
        <w:tc>
          <w:tcPr>
            <w:tcW w:w="1852" w:type="dxa"/>
            <w:shd w:val="clear" w:color="auto" w:fill="auto"/>
          </w:tcPr>
          <w:p w14:paraId="66584F4C"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64E70B92"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0EB3CEA3"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230AFA97" w14:textId="77777777" w:rsidR="00CF11AA" w:rsidRPr="008252E5" w:rsidRDefault="00CF11AA" w:rsidP="000848B5">
            <w:pPr>
              <w:pStyle w:val="BodyText"/>
              <w:spacing w:after="0" w:line="240" w:lineRule="auto"/>
              <w:jc w:val="center"/>
              <w:rPr>
                <w:rFonts w:cs="Calibri Light"/>
                <w:i/>
                <w:iCs/>
              </w:rPr>
            </w:pPr>
          </w:p>
        </w:tc>
      </w:tr>
      <w:tr w:rsidR="00CF11AA" w:rsidRPr="008252E5" w14:paraId="1347004C" w14:textId="77777777" w:rsidTr="767359A8">
        <w:tc>
          <w:tcPr>
            <w:tcW w:w="2085" w:type="dxa"/>
            <w:shd w:val="clear" w:color="auto" w:fill="auto"/>
          </w:tcPr>
          <w:p w14:paraId="5AED6D29" w14:textId="77777777" w:rsidR="00CF11AA" w:rsidRPr="008252E5" w:rsidRDefault="00CF11AA" w:rsidP="000848B5">
            <w:pPr>
              <w:pStyle w:val="BodyText"/>
              <w:spacing w:after="0" w:line="240" w:lineRule="auto"/>
              <w:rPr>
                <w:rFonts w:cs="Calibri Light"/>
              </w:rPr>
            </w:pPr>
            <w:r w:rsidRPr="008252E5">
              <w:rPr>
                <w:rFonts w:cs="Calibri Light"/>
                <w:bCs/>
              </w:rPr>
              <w:t xml:space="preserve">Multiple areas of concern (when received in a single allegation) </w:t>
            </w:r>
          </w:p>
        </w:tc>
        <w:tc>
          <w:tcPr>
            <w:tcW w:w="1852" w:type="dxa"/>
            <w:shd w:val="clear" w:color="auto" w:fill="auto"/>
          </w:tcPr>
          <w:p w14:paraId="61819FAD"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44D78B43"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1C0653E5"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39CD47C4" w14:textId="77777777" w:rsidR="00CF11AA" w:rsidRPr="008252E5" w:rsidRDefault="00CF11AA" w:rsidP="000848B5">
            <w:pPr>
              <w:pStyle w:val="BodyText"/>
              <w:spacing w:after="0" w:line="240" w:lineRule="auto"/>
              <w:jc w:val="center"/>
              <w:rPr>
                <w:rFonts w:cs="Calibri Light"/>
                <w:i/>
                <w:iCs/>
              </w:rPr>
            </w:pPr>
          </w:p>
        </w:tc>
      </w:tr>
      <w:tr w:rsidR="00CF11AA" w:rsidRPr="008252E5" w14:paraId="14B4D59A" w14:textId="77777777" w:rsidTr="767359A8">
        <w:tc>
          <w:tcPr>
            <w:tcW w:w="2085" w:type="dxa"/>
            <w:shd w:val="clear" w:color="auto" w:fill="auto"/>
          </w:tcPr>
          <w:p w14:paraId="25E33223" w14:textId="106E6344" w:rsidR="00CF11AA" w:rsidRPr="008252E5" w:rsidRDefault="00CF11AA" w:rsidP="000848B5">
            <w:pPr>
              <w:pStyle w:val="BodyText"/>
              <w:spacing w:after="0" w:line="240" w:lineRule="auto"/>
              <w:rPr>
                <w:rFonts w:cs="Calibri Light"/>
              </w:rPr>
            </w:pPr>
            <w:r w:rsidRPr="008252E5">
              <w:rPr>
                <w:rFonts w:cs="Calibri Light"/>
                <w:bCs/>
                <w:i/>
              </w:rPr>
              <w:t>Other</w:t>
            </w:r>
          </w:p>
        </w:tc>
        <w:tc>
          <w:tcPr>
            <w:tcW w:w="1852" w:type="dxa"/>
            <w:shd w:val="clear" w:color="auto" w:fill="auto"/>
          </w:tcPr>
          <w:p w14:paraId="180729FB"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65E23DAD"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3364F83B" w14:textId="77777777" w:rsidR="00CF11AA" w:rsidRPr="008252E5" w:rsidRDefault="00CF11AA" w:rsidP="000848B5">
            <w:pPr>
              <w:pStyle w:val="BodyText"/>
              <w:spacing w:after="0" w:line="240" w:lineRule="auto"/>
              <w:jc w:val="center"/>
              <w:rPr>
                <w:rFonts w:cs="Calibri Light"/>
                <w:i/>
                <w:iCs/>
              </w:rPr>
            </w:pPr>
          </w:p>
        </w:tc>
        <w:tc>
          <w:tcPr>
            <w:tcW w:w="1852" w:type="dxa"/>
            <w:shd w:val="clear" w:color="auto" w:fill="auto"/>
          </w:tcPr>
          <w:p w14:paraId="4393B5DE" w14:textId="77777777" w:rsidR="00CF11AA" w:rsidRPr="008252E5" w:rsidRDefault="00CF11AA" w:rsidP="000848B5">
            <w:pPr>
              <w:pStyle w:val="BodyText"/>
              <w:spacing w:after="0" w:line="240" w:lineRule="auto"/>
              <w:jc w:val="center"/>
              <w:rPr>
                <w:rFonts w:cs="Calibri Light"/>
                <w:i/>
                <w:iCs/>
              </w:rPr>
            </w:pPr>
          </w:p>
        </w:tc>
      </w:tr>
      <w:tr w:rsidR="00CF11AA" w:rsidRPr="000848B5" w14:paraId="59E31128" w14:textId="77777777" w:rsidTr="767359A8">
        <w:tc>
          <w:tcPr>
            <w:tcW w:w="2085" w:type="dxa"/>
            <w:shd w:val="clear" w:color="auto" w:fill="auto"/>
            <w:vAlign w:val="center"/>
          </w:tcPr>
          <w:p w14:paraId="78732126" w14:textId="77777777" w:rsidR="00CF11AA" w:rsidRPr="008252E5" w:rsidRDefault="00CF11AA" w:rsidP="000848B5">
            <w:pPr>
              <w:pStyle w:val="BodyText"/>
              <w:spacing w:after="0" w:line="240" w:lineRule="auto"/>
              <w:rPr>
                <w:rStyle w:val="HighlightBold"/>
              </w:rPr>
            </w:pPr>
            <w:r w:rsidRPr="008252E5">
              <w:rPr>
                <w:rStyle w:val="HighlightBold"/>
              </w:rPr>
              <w:t>Total:</w:t>
            </w:r>
          </w:p>
        </w:tc>
        <w:tc>
          <w:tcPr>
            <w:tcW w:w="1852" w:type="dxa"/>
            <w:shd w:val="clear" w:color="auto" w:fill="auto"/>
            <w:vAlign w:val="center"/>
          </w:tcPr>
          <w:p w14:paraId="73CBB573" w14:textId="7D24771A" w:rsidR="00CF11AA" w:rsidRPr="008252E5" w:rsidRDefault="00AD1CF1" w:rsidP="000848B5">
            <w:pPr>
              <w:pStyle w:val="BodyText"/>
              <w:spacing w:after="0" w:line="240" w:lineRule="auto"/>
              <w:jc w:val="center"/>
              <w:rPr>
                <w:rStyle w:val="HighlightBold"/>
              </w:rPr>
            </w:pPr>
            <w:r w:rsidRPr="008252E5">
              <w:rPr>
                <w:rStyle w:val="HighlightBold"/>
              </w:rPr>
              <w:t>4</w:t>
            </w:r>
          </w:p>
        </w:tc>
        <w:tc>
          <w:tcPr>
            <w:tcW w:w="1852" w:type="dxa"/>
            <w:shd w:val="clear" w:color="auto" w:fill="auto"/>
          </w:tcPr>
          <w:p w14:paraId="68FCE659" w14:textId="7AFA0C7D" w:rsidR="00CF11AA" w:rsidRPr="008252E5" w:rsidRDefault="00AD1CF1" w:rsidP="000848B5">
            <w:pPr>
              <w:pStyle w:val="BodyText"/>
              <w:spacing w:after="0" w:line="240" w:lineRule="auto"/>
              <w:jc w:val="center"/>
              <w:rPr>
                <w:rStyle w:val="HighlightBold"/>
              </w:rPr>
            </w:pPr>
            <w:r w:rsidRPr="008252E5">
              <w:rPr>
                <w:rStyle w:val="HighlightBold"/>
              </w:rPr>
              <w:t>0</w:t>
            </w:r>
          </w:p>
        </w:tc>
        <w:tc>
          <w:tcPr>
            <w:tcW w:w="1852" w:type="dxa"/>
            <w:shd w:val="clear" w:color="auto" w:fill="auto"/>
          </w:tcPr>
          <w:p w14:paraId="491DE1FD" w14:textId="65BE14EA" w:rsidR="00CF11AA" w:rsidRPr="008252E5" w:rsidRDefault="00AD1CF1" w:rsidP="000848B5">
            <w:pPr>
              <w:pStyle w:val="BodyText"/>
              <w:spacing w:after="0" w:line="240" w:lineRule="auto"/>
              <w:jc w:val="center"/>
              <w:rPr>
                <w:rStyle w:val="HighlightBold"/>
              </w:rPr>
            </w:pPr>
            <w:r w:rsidRPr="008252E5">
              <w:rPr>
                <w:rStyle w:val="HighlightBold"/>
              </w:rPr>
              <w:t>-</w:t>
            </w:r>
          </w:p>
        </w:tc>
        <w:tc>
          <w:tcPr>
            <w:tcW w:w="1852" w:type="dxa"/>
            <w:shd w:val="clear" w:color="auto" w:fill="auto"/>
          </w:tcPr>
          <w:p w14:paraId="1A7371D7" w14:textId="48353870" w:rsidR="00CF11AA" w:rsidRPr="000848B5" w:rsidRDefault="00AD1CF1" w:rsidP="000848B5">
            <w:pPr>
              <w:pStyle w:val="BodyText"/>
              <w:spacing w:after="0" w:line="240" w:lineRule="auto"/>
              <w:jc w:val="center"/>
              <w:rPr>
                <w:rStyle w:val="HighlightBold"/>
              </w:rPr>
            </w:pPr>
            <w:r w:rsidRPr="008252E5">
              <w:rPr>
                <w:rStyle w:val="HighlightBold"/>
              </w:rPr>
              <w:t>-</w:t>
            </w:r>
          </w:p>
        </w:tc>
      </w:tr>
      <w:bookmarkEnd w:id="0"/>
      <w:bookmarkEnd w:id="1"/>
    </w:tbl>
    <w:p w14:paraId="3E9BA627" w14:textId="3A391DC8" w:rsidR="0016700C" w:rsidRDefault="0016700C" w:rsidP="00507B3B">
      <w:pPr>
        <w:tabs>
          <w:tab w:val="left" w:pos="5730"/>
        </w:tabs>
        <w:spacing w:after="360"/>
      </w:pPr>
    </w:p>
    <w:sectPr w:rsidR="0016700C" w:rsidSect="006F3D52">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Fox, Yvonne" w:date="2023-09-06T08:25:00Z" w:initials="FY">
    <w:p w14:paraId="18CC9E7B" w14:textId="2E60A480" w:rsidR="767359A8" w:rsidRDefault="767359A8">
      <w:pPr>
        <w:pStyle w:val="CommentText"/>
      </w:pPr>
      <w:r>
        <w:t>Perhaps worth adding Helen's details as this report will be on-line whilst Becky is on mat leave s</w:t>
      </w:r>
      <w:r>
        <w:rPr>
          <w:rStyle w:val="CommentReference"/>
        </w:rPr>
        <w:annotationRef/>
      </w:r>
    </w:p>
  </w:comment>
  <w:comment w:id="3" w:author="Stead, Valerie" w:date="2023-09-12T12:17:00Z" w:initials="SV">
    <w:p w14:paraId="22EEB5AB" w14:textId="0B1994DA" w:rsidR="05740F1B" w:rsidRDefault="05740F1B">
      <w:pPr>
        <w:pStyle w:val="CommentText"/>
      </w:pPr>
      <w:r>
        <w:t xml:space="preserve">suggest amend to 'researchers and research teams' </w:t>
      </w:r>
      <w:r>
        <w:rPr>
          <w:rStyle w:val="CommentReference"/>
        </w:rPr>
        <w:annotationRef/>
      </w:r>
    </w:p>
  </w:comment>
  <w:comment w:id="4" w:author="Stead, Valerie" w:date="2023-09-12T12:20:00Z" w:initials="SV">
    <w:p w14:paraId="49CD07B2" w14:textId="68BEC323" w:rsidR="05740F1B" w:rsidRDefault="05740F1B">
      <w:pPr>
        <w:pStyle w:val="CommentText"/>
      </w:pPr>
      <w:r>
        <w:t xml:space="preserve">is it worth flagging where we have compulsory training </w:t>
      </w:r>
      <w:r>
        <w:rPr>
          <w:rStyle w:val="CommentReference"/>
        </w:rPr>
        <w:annotationRef/>
      </w:r>
    </w:p>
  </w:comment>
  <w:comment w:id="5" w:author="Fox, Yvonne" w:date="2023-09-06T08:41:00Z" w:initials="FY">
    <w:p w14:paraId="55F2BED2" w14:textId="1ABED145" w:rsidR="767359A8" w:rsidRDefault="767359A8">
      <w:pPr>
        <w:pStyle w:val="CommentText"/>
      </w:pPr>
      <w:r>
        <w:t>after research funders and partners suggest add 'and in accordance with our acceptance of external funding policy.'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CC9E7B" w15:done="1"/>
  <w15:commentEx w15:paraId="22EEB5AB" w15:done="1"/>
  <w15:commentEx w15:paraId="49CD07B2" w15:done="1"/>
  <w15:commentEx w15:paraId="55F2BE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BB2B08" w16cex:dateUtc="2023-09-06T07:25:00Z"/>
  <w16cex:commentExtensible w16cex:durableId="45525B98" w16cex:dateUtc="2023-09-12T11:17:00Z"/>
  <w16cex:commentExtensible w16cex:durableId="30029615" w16cex:dateUtc="2023-09-12T11:20:00Z"/>
  <w16cex:commentExtensible w16cex:durableId="6D349F1D" w16cex:dateUtc="2023-09-06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CC9E7B" w16cid:durableId="76BB2B08"/>
  <w16cid:commentId w16cid:paraId="22EEB5AB" w16cid:durableId="45525B98"/>
  <w16cid:commentId w16cid:paraId="49CD07B2" w16cid:durableId="30029615"/>
  <w16cid:commentId w16cid:paraId="55F2BED2" w16cid:durableId="6D349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A2E2" w14:textId="77777777" w:rsidR="00F94C0F" w:rsidRDefault="00F94C0F" w:rsidP="00521A22">
      <w:r>
        <w:separator/>
      </w:r>
    </w:p>
  </w:endnote>
  <w:endnote w:type="continuationSeparator" w:id="0">
    <w:p w14:paraId="6B2C70C4" w14:textId="77777777" w:rsidR="00F94C0F" w:rsidRDefault="00F94C0F"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083D" w14:textId="77777777" w:rsidR="00BE73A4" w:rsidRDefault="00BE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3429" w14:textId="77777777" w:rsidR="00BE73A4" w:rsidRDefault="00BE7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0F976" w14:textId="77777777" w:rsidR="00BE73A4" w:rsidRDefault="00BE7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78BF" w14:textId="77777777" w:rsidR="00F94C0F" w:rsidRPr="007B6794" w:rsidRDefault="00F94C0F" w:rsidP="007B6794">
      <w:pPr>
        <w:pStyle w:val="BodyText"/>
        <w:rPr>
          <w:rStyle w:val="HighlightBlue"/>
        </w:rPr>
      </w:pPr>
      <w:r w:rsidRPr="007B6794">
        <w:rPr>
          <w:rStyle w:val="HighlightBlue"/>
        </w:rPr>
        <w:t>_______________</w:t>
      </w:r>
    </w:p>
  </w:footnote>
  <w:footnote w:type="continuationSeparator" w:id="0">
    <w:p w14:paraId="5F4F3992" w14:textId="77777777" w:rsidR="00F94C0F" w:rsidRPr="007B6794" w:rsidRDefault="00F94C0F" w:rsidP="007B6794">
      <w:pPr>
        <w:pStyle w:val="BodyText"/>
        <w:rPr>
          <w:rStyle w:val="HighlightBlue"/>
        </w:rPr>
      </w:pPr>
      <w:r w:rsidRPr="007B6794">
        <w:rPr>
          <w:rStyle w:val="HighlightBlue"/>
        </w:rPr>
        <w:t>____________________________________________________________</w:t>
      </w:r>
    </w:p>
  </w:footnote>
  <w:footnote w:type="continuationNotice" w:id="1">
    <w:p w14:paraId="78911252" w14:textId="77777777" w:rsidR="00F94C0F" w:rsidRDefault="00F94C0F"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11FE" w14:textId="77777777" w:rsidR="00BE73A4" w:rsidRDefault="00BE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526886"/>
      <w:docPartObj>
        <w:docPartGallery w:val="Watermarks"/>
        <w:docPartUnique/>
      </w:docPartObj>
    </w:sdtPr>
    <w:sdtEndPr/>
    <w:sdtContent>
      <w:p w14:paraId="3F41DFA7" w14:textId="5C613E33" w:rsidR="00BE73A4" w:rsidRDefault="00873C46">
        <w:pPr>
          <w:pStyle w:val="Header"/>
        </w:pPr>
        <w:r>
          <w:pict w14:anchorId="5EAEF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9BCD" w14:textId="77777777" w:rsidR="00BE73A4" w:rsidRDefault="00BE7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5.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" o:bullet="t">
        <v:imagedata r:id="rId1" o:title="" cropright="-489f"/>
      </v:shape>
    </w:pict>
  </w:numPicBullet>
  <w:numPicBullet w:numPicBulletId="1">
    <w:pict>
      <v:shape id="_x0000_i1027" type="#_x0000_t75" style="width:15pt;height:5.4pt;visibility:visibl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F466823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31ACBC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307D3"/>
    <w:multiLevelType w:val="hybridMultilevel"/>
    <w:tmpl w:val="D5DE36E0"/>
    <w:lvl w:ilvl="0" w:tplc="AF3E5D48">
      <w:start w:val="1"/>
      <w:numFmt w:val="bullet"/>
      <w:lvlText w:val="-"/>
      <w:lvlJc w:val="left"/>
      <w:pPr>
        <w:tabs>
          <w:tab w:val="num" w:pos="720"/>
        </w:tabs>
        <w:ind w:left="720" w:hanging="360"/>
      </w:pPr>
      <w:rPr>
        <w:rFonts w:ascii="Times New Roman" w:hAnsi="Times New Roman" w:cs="Times New Roman" w:hint="default"/>
      </w:rPr>
    </w:lvl>
    <w:lvl w:ilvl="1" w:tplc="0B16C03C">
      <w:start w:val="1"/>
      <w:numFmt w:val="bullet"/>
      <w:lvlText w:val="-"/>
      <w:lvlJc w:val="left"/>
      <w:pPr>
        <w:tabs>
          <w:tab w:val="num" w:pos="1440"/>
        </w:tabs>
        <w:ind w:left="1440" w:hanging="360"/>
      </w:pPr>
      <w:rPr>
        <w:rFonts w:ascii="Times New Roman" w:hAnsi="Times New Roman" w:cs="Times New Roman" w:hint="default"/>
      </w:rPr>
    </w:lvl>
    <w:lvl w:ilvl="2" w:tplc="6396DFAE">
      <w:start w:val="1"/>
      <w:numFmt w:val="bullet"/>
      <w:lvlText w:val="-"/>
      <w:lvlJc w:val="left"/>
      <w:pPr>
        <w:tabs>
          <w:tab w:val="num" w:pos="2160"/>
        </w:tabs>
        <w:ind w:left="2160" w:hanging="360"/>
      </w:pPr>
      <w:rPr>
        <w:rFonts w:ascii="Times New Roman" w:hAnsi="Times New Roman" w:cs="Times New Roman" w:hint="default"/>
      </w:rPr>
    </w:lvl>
    <w:lvl w:ilvl="3" w:tplc="D4404526">
      <w:start w:val="1"/>
      <w:numFmt w:val="bullet"/>
      <w:lvlText w:val="-"/>
      <w:lvlJc w:val="left"/>
      <w:pPr>
        <w:tabs>
          <w:tab w:val="num" w:pos="2880"/>
        </w:tabs>
        <w:ind w:left="2880" w:hanging="360"/>
      </w:pPr>
      <w:rPr>
        <w:rFonts w:ascii="Times New Roman" w:hAnsi="Times New Roman" w:cs="Times New Roman" w:hint="default"/>
      </w:rPr>
    </w:lvl>
    <w:lvl w:ilvl="4" w:tplc="2DD21844">
      <w:start w:val="1"/>
      <w:numFmt w:val="bullet"/>
      <w:lvlText w:val="-"/>
      <w:lvlJc w:val="left"/>
      <w:pPr>
        <w:tabs>
          <w:tab w:val="num" w:pos="3600"/>
        </w:tabs>
        <w:ind w:left="3600" w:hanging="360"/>
      </w:pPr>
      <w:rPr>
        <w:rFonts w:ascii="Times New Roman" w:hAnsi="Times New Roman" w:cs="Times New Roman" w:hint="default"/>
      </w:rPr>
    </w:lvl>
    <w:lvl w:ilvl="5" w:tplc="2D880DCA">
      <w:start w:val="1"/>
      <w:numFmt w:val="bullet"/>
      <w:lvlText w:val="-"/>
      <w:lvlJc w:val="left"/>
      <w:pPr>
        <w:tabs>
          <w:tab w:val="num" w:pos="4320"/>
        </w:tabs>
        <w:ind w:left="4320" w:hanging="360"/>
      </w:pPr>
      <w:rPr>
        <w:rFonts w:ascii="Times New Roman" w:hAnsi="Times New Roman" w:cs="Times New Roman" w:hint="default"/>
      </w:rPr>
    </w:lvl>
    <w:lvl w:ilvl="6" w:tplc="4DA410A8">
      <w:start w:val="1"/>
      <w:numFmt w:val="bullet"/>
      <w:lvlText w:val="-"/>
      <w:lvlJc w:val="left"/>
      <w:pPr>
        <w:tabs>
          <w:tab w:val="num" w:pos="5040"/>
        </w:tabs>
        <w:ind w:left="5040" w:hanging="360"/>
      </w:pPr>
      <w:rPr>
        <w:rFonts w:ascii="Times New Roman" w:hAnsi="Times New Roman" w:cs="Times New Roman" w:hint="default"/>
      </w:rPr>
    </w:lvl>
    <w:lvl w:ilvl="7" w:tplc="6EE0FF6A">
      <w:start w:val="1"/>
      <w:numFmt w:val="bullet"/>
      <w:lvlText w:val="-"/>
      <w:lvlJc w:val="left"/>
      <w:pPr>
        <w:tabs>
          <w:tab w:val="num" w:pos="5760"/>
        </w:tabs>
        <w:ind w:left="5760" w:hanging="360"/>
      </w:pPr>
      <w:rPr>
        <w:rFonts w:ascii="Times New Roman" w:hAnsi="Times New Roman" w:cs="Times New Roman" w:hint="default"/>
      </w:rPr>
    </w:lvl>
    <w:lvl w:ilvl="8" w:tplc="471A129E">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6F92C8C"/>
    <w:multiLevelType w:val="hybridMultilevel"/>
    <w:tmpl w:val="59965DFA"/>
    <w:lvl w:ilvl="0" w:tplc="D1F66898">
      <w:start w:val="1"/>
      <w:numFmt w:val="bullet"/>
      <w:lvlText w:val="•"/>
      <w:lvlJc w:val="left"/>
      <w:pPr>
        <w:tabs>
          <w:tab w:val="num" w:pos="720"/>
        </w:tabs>
        <w:ind w:left="720" w:hanging="360"/>
      </w:pPr>
      <w:rPr>
        <w:rFonts w:ascii="Arial" w:hAnsi="Arial" w:cs="Times New Roman" w:hint="default"/>
      </w:rPr>
    </w:lvl>
    <w:lvl w:ilvl="1" w:tplc="0DCA67A8">
      <w:start w:val="1"/>
      <w:numFmt w:val="bullet"/>
      <w:lvlText w:val="•"/>
      <w:lvlJc w:val="left"/>
      <w:pPr>
        <w:tabs>
          <w:tab w:val="num" w:pos="1440"/>
        </w:tabs>
        <w:ind w:left="1440" w:hanging="360"/>
      </w:pPr>
      <w:rPr>
        <w:rFonts w:ascii="Arial" w:hAnsi="Arial" w:cs="Times New Roman" w:hint="default"/>
      </w:rPr>
    </w:lvl>
    <w:lvl w:ilvl="2" w:tplc="F4CE03A0">
      <w:start w:val="1"/>
      <w:numFmt w:val="bullet"/>
      <w:lvlText w:val="•"/>
      <w:lvlJc w:val="left"/>
      <w:pPr>
        <w:tabs>
          <w:tab w:val="num" w:pos="2160"/>
        </w:tabs>
        <w:ind w:left="2160" w:hanging="360"/>
      </w:pPr>
      <w:rPr>
        <w:rFonts w:ascii="Arial" w:hAnsi="Arial" w:cs="Times New Roman" w:hint="default"/>
      </w:rPr>
    </w:lvl>
    <w:lvl w:ilvl="3" w:tplc="6472D47E">
      <w:start w:val="1"/>
      <w:numFmt w:val="bullet"/>
      <w:lvlText w:val="•"/>
      <w:lvlJc w:val="left"/>
      <w:pPr>
        <w:tabs>
          <w:tab w:val="num" w:pos="2880"/>
        </w:tabs>
        <w:ind w:left="2880" w:hanging="360"/>
      </w:pPr>
      <w:rPr>
        <w:rFonts w:ascii="Arial" w:hAnsi="Arial" w:cs="Times New Roman" w:hint="default"/>
      </w:rPr>
    </w:lvl>
    <w:lvl w:ilvl="4" w:tplc="64A68E2E">
      <w:start w:val="1"/>
      <w:numFmt w:val="bullet"/>
      <w:lvlText w:val="•"/>
      <w:lvlJc w:val="left"/>
      <w:pPr>
        <w:tabs>
          <w:tab w:val="num" w:pos="3600"/>
        </w:tabs>
        <w:ind w:left="3600" w:hanging="360"/>
      </w:pPr>
      <w:rPr>
        <w:rFonts w:ascii="Arial" w:hAnsi="Arial" w:cs="Times New Roman" w:hint="default"/>
      </w:rPr>
    </w:lvl>
    <w:lvl w:ilvl="5" w:tplc="1386498A">
      <w:start w:val="1"/>
      <w:numFmt w:val="bullet"/>
      <w:lvlText w:val="•"/>
      <w:lvlJc w:val="left"/>
      <w:pPr>
        <w:tabs>
          <w:tab w:val="num" w:pos="4320"/>
        </w:tabs>
        <w:ind w:left="4320" w:hanging="360"/>
      </w:pPr>
      <w:rPr>
        <w:rFonts w:ascii="Arial" w:hAnsi="Arial" w:cs="Times New Roman" w:hint="default"/>
      </w:rPr>
    </w:lvl>
    <w:lvl w:ilvl="6" w:tplc="B6240FF2">
      <w:start w:val="1"/>
      <w:numFmt w:val="bullet"/>
      <w:lvlText w:val="•"/>
      <w:lvlJc w:val="left"/>
      <w:pPr>
        <w:tabs>
          <w:tab w:val="num" w:pos="5040"/>
        </w:tabs>
        <w:ind w:left="5040" w:hanging="360"/>
      </w:pPr>
      <w:rPr>
        <w:rFonts w:ascii="Arial" w:hAnsi="Arial" w:cs="Times New Roman" w:hint="default"/>
      </w:rPr>
    </w:lvl>
    <w:lvl w:ilvl="7" w:tplc="1A22E280">
      <w:start w:val="1"/>
      <w:numFmt w:val="bullet"/>
      <w:lvlText w:val="•"/>
      <w:lvlJc w:val="left"/>
      <w:pPr>
        <w:tabs>
          <w:tab w:val="num" w:pos="5760"/>
        </w:tabs>
        <w:ind w:left="5760" w:hanging="360"/>
      </w:pPr>
      <w:rPr>
        <w:rFonts w:ascii="Arial" w:hAnsi="Arial" w:cs="Times New Roman" w:hint="default"/>
      </w:rPr>
    </w:lvl>
    <w:lvl w:ilvl="8" w:tplc="F942FF8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08F6638A"/>
    <w:multiLevelType w:val="hybridMultilevel"/>
    <w:tmpl w:val="67909E28"/>
    <w:lvl w:ilvl="0" w:tplc="DE8C1F56">
      <w:numFmt w:val="bullet"/>
      <w:lvlText w:val="-"/>
      <w:lvlJc w:val="left"/>
      <w:pPr>
        <w:ind w:left="720" w:hanging="360"/>
      </w:pPr>
      <w:rPr>
        <w:rFonts w:ascii="Calibri Light" w:eastAsia="Calibri Light" w:hAnsi="Calibri Light" w:cs="Calibri Light"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33AAB"/>
    <w:multiLevelType w:val="hybridMultilevel"/>
    <w:tmpl w:val="EAD2121C"/>
    <w:lvl w:ilvl="0" w:tplc="0A329598">
      <w:start w:val="1"/>
      <w:numFmt w:val="bullet"/>
      <w:lvlText w:val="•"/>
      <w:lvlJc w:val="left"/>
      <w:pPr>
        <w:tabs>
          <w:tab w:val="num" w:pos="720"/>
        </w:tabs>
        <w:ind w:left="720" w:hanging="360"/>
      </w:pPr>
      <w:rPr>
        <w:rFonts w:ascii="Arial" w:hAnsi="Arial" w:cs="Times New Roman" w:hint="default"/>
      </w:rPr>
    </w:lvl>
    <w:lvl w:ilvl="1" w:tplc="79A66C78">
      <w:start w:val="1"/>
      <w:numFmt w:val="bullet"/>
      <w:lvlText w:val="•"/>
      <w:lvlJc w:val="left"/>
      <w:pPr>
        <w:tabs>
          <w:tab w:val="num" w:pos="1440"/>
        </w:tabs>
        <w:ind w:left="1440" w:hanging="360"/>
      </w:pPr>
      <w:rPr>
        <w:rFonts w:ascii="Arial" w:hAnsi="Arial" w:cs="Times New Roman" w:hint="default"/>
      </w:rPr>
    </w:lvl>
    <w:lvl w:ilvl="2" w:tplc="D0F83C0C">
      <w:start w:val="1"/>
      <w:numFmt w:val="bullet"/>
      <w:lvlText w:val="•"/>
      <w:lvlJc w:val="left"/>
      <w:pPr>
        <w:tabs>
          <w:tab w:val="num" w:pos="2160"/>
        </w:tabs>
        <w:ind w:left="2160" w:hanging="360"/>
      </w:pPr>
      <w:rPr>
        <w:rFonts w:ascii="Arial" w:hAnsi="Arial" w:cs="Times New Roman" w:hint="default"/>
      </w:rPr>
    </w:lvl>
    <w:lvl w:ilvl="3" w:tplc="294A7F2A">
      <w:start w:val="1"/>
      <w:numFmt w:val="bullet"/>
      <w:lvlText w:val="•"/>
      <w:lvlJc w:val="left"/>
      <w:pPr>
        <w:tabs>
          <w:tab w:val="num" w:pos="2880"/>
        </w:tabs>
        <w:ind w:left="2880" w:hanging="360"/>
      </w:pPr>
      <w:rPr>
        <w:rFonts w:ascii="Arial" w:hAnsi="Arial" w:cs="Times New Roman" w:hint="default"/>
      </w:rPr>
    </w:lvl>
    <w:lvl w:ilvl="4" w:tplc="DA72D6C2">
      <w:start w:val="1"/>
      <w:numFmt w:val="bullet"/>
      <w:lvlText w:val="•"/>
      <w:lvlJc w:val="left"/>
      <w:pPr>
        <w:tabs>
          <w:tab w:val="num" w:pos="3600"/>
        </w:tabs>
        <w:ind w:left="3600" w:hanging="360"/>
      </w:pPr>
      <w:rPr>
        <w:rFonts w:ascii="Arial" w:hAnsi="Arial" w:cs="Times New Roman" w:hint="default"/>
      </w:rPr>
    </w:lvl>
    <w:lvl w:ilvl="5" w:tplc="7CB217F2">
      <w:start w:val="1"/>
      <w:numFmt w:val="bullet"/>
      <w:lvlText w:val="•"/>
      <w:lvlJc w:val="left"/>
      <w:pPr>
        <w:tabs>
          <w:tab w:val="num" w:pos="4320"/>
        </w:tabs>
        <w:ind w:left="4320" w:hanging="360"/>
      </w:pPr>
      <w:rPr>
        <w:rFonts w:ascii="Arial" w:hAnsi="Arial" w:cs="Times New Roman" w:hint="default"/>
      </w:rPr>
    </w:lvl>
    <w:lvl w:ilvl="6" w:tplc="1744E094">
      <w:start w:val="1"/>
      <w:numFmt w:val="bullet"/>
      <w:lvlText w:val="•"/>
      <w:lvlJc w:val="left"/>
      <w:pPr>
        <w:tabs>
          <w:tab w:val="num" w:pos="5040"/>
        </w:tabs>
        <w:ind w:left="5040" w:hanging="360"/>
      </w:pPr>
      <w:rPr>
        <w:rFonts w:ascii="Arial" w:hAnsi="Arial" w:cs="Times New Roman" w:hint="default"/>
      </w:rPr>
    </w:lvl>
    <w:lvl w:ilvl="7" w:tplc="18A8556E">
      <w:start w:val="1"/>
      <w:numFmt w:val="bullet"/>
      <w:lvlText w:val="•"/>
      <w:lvlJc w:val="left"/>
      <w:pPr>
        <w:tabs>
          <w:tab w:val="num" w:pos="5760"/>
        </w:tabs>
        <w:ind w:left="5760" w:hanging="360"/>
      </w:pPr>
      <w:rPr>
        <w:rFonts w:ascii="Arial" w:hAnsi="Arial" w:cs="Times New Roman" w:hint="default"/>
      </w:rPr>
    </w:lvl>
    <w:lvl w:ilvl="8" w:tplc="B5865578">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2333262"/>
    <w:multiLevelType w:val="hybridMultilevel"/>
    <w:tmpl w:val="43F6A754"/>
    <w:lvl w:ilvl="0" w:tplc="B3C03C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66248"/>
    <w:multiLevelType w:val="hybridMultilevel"/>
    <w:tmpl w:val="7AC8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A49D7"/>
    <w:multiLevelType w:val="hybridMultilevel"/>
    <w:tmpl w:val="29400492"/>
    <w:lvl w:ilvl="0" w:tplc="A66E5FE4">
      <w:start w:val="1"/>
      <w:numFmt w:val="bullet"/>
      <w:lvlText w:val=""/>
      <w:lvlJc w:val="left"/>
      <w:pPr>
        <w:ind w:left="1000" w:hanging="360"/>
      </w:pPr>
      <w:rPr>
        <w:rFonts w:ascii="Symbol" w:hAnsi="Symbol"/>
      </w:rPr>
    </w:lvl>
    <w:lvl w:ilvl="1" w:tplc="48149826">
      <w:start w:val="1"/>
      <w:numFmt w:val="bullet"/>
      <w:lvlText w:val=""/>
      <w:lvlJc w:val="left"/>
      <w:pPr>
        <w:ind w:left="1000" w:hanging="360"/>
      </w:pPr>
      <w:rPr>
        <w:rFonts w:ascii="Symbol" w:hAnsi="Symbol"/>
      </w:rPr>
    </w:lvl>
    <w:lvl w:ilvl="2" w:tplc="6388D798">
      <w:start w:val="1"/>
      <w:numFmt w:val="bullet"/>
      <w:lvlText w:val=""/>
      <w:lvlJc w:val="left"/>
      <w:pPr>
        <w:ind w:left="1000" w:hanging="360"/>
      </w:pPr>
      <w:rPr>
        <w:rFonts w:ascii="Symbol" w:hAnsi="Symbol"/>
      </w:rPr>
    </w:lvl>
    <w:lvl w:ilvl="3" w:tplc="953A5DD8">
      <w:start w:val="1"/>
      <w:numFmt w:val="bullet"/>
      <w:lvlText w:val=""/>
      <w:lvlJc w:val="left"/>
      <w:pPr>
        <w:ind w:left="1000" w:hanging="360"/>
      </w:pPr>
      <w:rPr>
        <w:rFonts w:ascii="Symbol" w:hAnsi="Symbol"/>
      </w:rPr>
    </w:lvl>
    <w:lvl w:ilvl="4" w:tplc="B1CEAB10">
      <w:start w:val="1"/>
      <w:numFmt w:val="bullet"/>
      <w:lvlText w:val=""/>
      <w:lvlJc w:val="left"/>
      <w:pPr>
        <w:ind w:left="1000" w:hanging="360"/>
      </w:pPr>
      <w:rPr>
        <w:rFonts w:ascii="Symbol" w:hAnsi="Symbol"/>
      </w:rPr>
    </w:lvl>
    <w:lvl w:ilvl="5" w:tplc="272E9B0E">
      <w:start w:val="1"/>
      <w:numFmt w:val="bullet"/>
      <w:lvlText w:val=""/>
      <w:lvlJc w:val="left"/>
      <w:pPr>
        <w:ind w:left="1000" w:hanging="360"/>
      </w:pPr>
      <w:rPr>
        <w:rFonts w:ascii="Symbol" w:hAnsi="Symbol"/>
      </w:rPr>
    </w:lvl>
    <w:lvl w:ilvl="6" w:tplc="D5F80FAE">
      <w:start w:val="1"/>
      <w:numFmt w:val="bullet"/>
      <w:lvlText w:val=""/>
      <w:lvlJc w:val="left"/>
      <w:pPr>
        <w:ind w:left="1000" w:hanging="360"/>
      </w:pPr>
      <w:rPr>
        <w:rFonts w:ascii="Symbol" w:hAnsi="Symbol"/>
      </w:rPr>
    </w:lvl>
    <w:lvl w:ilvl="7" w:tplc="FEB88392">
      <w:start w:val="1"/>
      <w:numFmt w:val="bullet"/>
      <w:lvlText w:val=""/>
      <w:lvlJc w:val="left"/>
      <w:pPr>
        <w:ind w:left="1000" w:hanging="360"/>
      </w:pPr>
      <w:rPr>
        <w:rFonts w:ascii="Symbol" w:hAnsi="Symbol"/>
      </w:rPr>
    </w:lvl>
    <w:lvl w:ilvl="8" w:tplc="1044668C">
      <w:start w:val="1"/>
      <w:numFmt w:val="bullet"/>
      <w:lvlText w:val=""/>
      <w:lvlJc w:val="left"/>
      <w:pPr>
        <w:ind w:left="1000" w:hanging="360"/>
      </w:pPr>
      <w:rPr>
        <w:rFonts w:ascii="Symbol" w:hAnsi="Symbol"/>
      </w:rPr>
    </w:lvl>
  </w:abstractNum>
  <w:abstractNum w:abstractNumId="11" w15:restartNumberingAfterBreak="0">
    <w:nsid w:val="425028D7"/>
    <w:multiLevelType w:val="hybridMultilevel"/>
    <w:tmpl w:val="028C0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42B35"/>
    <w:multiLevelType w:val="hybridMultilevel"/>
    <w:tmpl w:val="FFFFFFFF"/>
    <w:lvl w:ilvl="0" w:tplc="F1B8E394">
      <w:start w:val="1"/>
      <w:numFmt w:val="bullet"/>
      <w:lvlText w:val=""/>
      <w:lvlJc w:val="left"/>
      <w:pPr>
        <w:ind w:left="360" w:hanging="360"/>
      </w:pPr>
      <w:rPr>
        <w:rFonts w:ascii="Symbol" w:hAnsi="Symbol" w:hint="default"/>
      </w:rPr>
    </w:lvl>
    <w:lvl w:ilvl="1" w:tplc="466E5992">
      <w:start w:val="1"/>
      <w:numFmt w:val="bullet"/>
      <w:lvlText w:val="o"/>
      <w:lvlJc w:val="left"/>
      <w:pPr>
        <w:ind w:left="1440" w:hanging="360"/>
      </w:pPr>
      <w:rPr>
        <w:rFonts w:ascii="Courier New" w:hAnsi="Courier New" w:hint="default"/>
      </w:rPr>
    </w:lvl>
    <w:lvl w:ilvl="2" w:tplc="AABA5682">
      <w:start w:val="1"/>
      <w:numFmt w:val="bullet"/>
      <w:lvlText w:val=""/>
      <w:lvlJc w:val="left"/>
      <w:pPr>
        <w:ind w:left="2160" w:hanging="360"/>
      </w:pPr>
      <w:rPr>
        <w:rFonts w:ascii="Wingdings" w:hAnsi="Wingdings" w:hint="default"/>
      </w:rPr>
    </w:lvl>
    <w:lvl w:ilvl="3" w:tplc="3724CCE8">
      <w:start w:val="1"/>
      <w:numFmt w:val="bullet"/>
      <w:lvlText w:val=""/>
      <w:lvlJc w:val="left"/>
      <w:pPr>
        <w:ind w:left="2880" w:hanging="360"/>
      </w:pPr>
      <w:rPr>
        <w:rFonts w:ascii="Symbol" w:hAnsi="Symbol" w:hint="default"/>
      </w:rPr>
    </w:lvl>
    <w:lvl w:ilvl="4" w:tplc="5C06AABA">
      <w:start w:val="1"/>
      <w:numFmt w:val="bullet"/>
      <w:lvlText w:val="o"/>
      <w:lvlJc w:val="left"/>
      <w:pPr>
        <w:ind w:left="3600" w:hanging="360"/>
      </w:pPr>
      <w:rPr>
        <w:rFonts w:ascii="Courier New" w:hAnsi="Courier New" w:hint="default"/>
      </w:rPr>
    </w:lvl>
    <w:lvl w:ilvl="5" w:tplc="1FD6CA36">
      <w:start w:val="1"/>
      <w:numFmt w:val="bullet"/>
      <w:lvlText w:val=""/>
      <w:lvlJc w:val="left"/>
      <w:pPr>
        <w:ind w:left="4320" w:hanging="360"/>
      </w:pPr>
      <w:rPr>
        <w:rFonts w:ascii="Wingdings" w:hAnsi="Wingdings" w:hint="default"/>
      </w:rPr>
    </w:lvl>
    <w:lvl w:ilvl="6" w:tplc="26226192">
      <w:start w:val="1"/>
      <w:numFmt w:val="bullet"/>
      <w:lvlText w:val=""/>
      <w:lvlJc w:val="left"/>
      <w:pPr>
        <w:ind w:left="5040" w:hanging="360"/>
      </w:pPr>
      <w:rPr>
        <w:rFonts w:ascii="Symbol" w:hAnsi="Symbol" w:hint="default"/>
      </w:rPr>
    </w:lvl>
    <w:lvl w:ilvl="7" w:tplc="B5B8C654">
      <w:start w:val="1"/>
      <w:numFmt w:val="bullet"/>
      <w:lvlText w:val="o"/>
      <w:lvlJc w:val="left"/>
      <w:pPr>
        <w:ind w:left="5760" w:hanging="360"/>
      </w:pPr>
      <w:rPr>
        <w:rFonts w:ascii="Courier New" w:hAnsi="Courier New" w:hint="default"/>
      </w:rPr>
    </w:lvl>
    <w:lvl w:ilvl="8" w:tplc="29B20C86">
      <w:start w:val="1"/>
      <w:numFmt w:val="bullet"/>
      <w:lvlText w:val=""/>
      <w:lvlJc w:val="left"/>
      <w:pPr>
        <w:ind w:left="6480" w:hanging="360"/>
      </w:pPr>
      <w:rPr>
        <w:rFonts w:ascii="Wingdings" w:hAnsi="Wingdings" w:hint="default"/>
      </w:rPr>
    </w:lvl>
  </w:abstractNum>
  <w:num w:numId="1" w16cid:durableId="2108496551">
    <w:abstractNumId w:val="3"/>
  </w:num>
  <w:num w:numId="2" w16cid:durableId="519439003">
    <w:abstractNumId w:val="1"/>
  </w:num>
  <w:num w:numId="3" w16cid:durableId="302857723">
    <w:abstractNumId w:val="2"/>
  </w:num>
  <w:num w:numId="4" w16cid:durableId="84310237">
    <w:abstractNumId w:val="0"/>
  </w:num>
  <w:num w:numId="5" w16cid:durableId="459498489">
    <w:abstractNumId w:val="3"/>
  </w:num>
  <w:num w:numId="6" w16cid:durableId="584338084">
    <w:abstractNumId w:val="3"/>
  </w:num>
  <w:num w:numId="7" w16cid:durableId="763694860">
    <w:abstractNumId w:val="11"/>
  </w:num>
  <w:num w:numId="8" w16cid:durableId="23336920">
    <w:abstractNumId w:val="2"/>
  </w:num>
  <w:num w:numId="9" w16cid:durableId="2019652466">
    <w:abstractNumId w:val="3"/>
  </w:num>
  <w:num w:numId="10" w16cid:durableId="445123820">
    <w:abstractNumId w:val="3"/>
  </w:num>
  <w:num w:numId="11" w16cid:durableId="1732927432">
    <w:abstractNumId w:val="3"/>
  </w:num>
  <w:num w:numId="12" w16cid:durableId="1147017474">
    <w:abstractNumId w:val="12"/>
  </w:num>
  <w:num w:numId="13" w16cid:durableId="1836142227">
    <w:abstractNumId w:val="9"/>
  </w:num>
  <w:num w:numId="14" w16cid:durableId="1509054029">
    <w:abstractNumId w:val="8"/>
  </w:num>
  <w:num w:numId="15" w16cid:durableId="1955020239">
    <w:abstractNumId w:val="6"/>
  </w:num>
  <w:num w:numId="16" w16cid:durableId="915743867">
    <w:abstractNumId w:val="3"/>
  </w:num>
  <w:num w:numId="17" w16cid:durableId="1195922006">
    <w:abstractNumId w:val="10"/>
  </w:num>
  <w:num w:numId="18" w16cid:durableId="1340232079">
    <w:abstractNumId w:val="4"/>
  </w:num>
  <w:num w:numId="19" w16cid:durableId="1060978977">
    <w:abstractNumId w:val="5"/>
  </w:num>
  <w:num w:numId="20" w16cid:durableId="12834618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ox, Yvonne">
    <w15:presenceInfo w15:providerId="AD" w15:userId="S::foxy@lancaster.ac.uk::c65ef808-11a3-4381-8248-42fa24fe0885"/>
  </w15:person>
  <w15:person w15:author="Stead, Valerie">
    <w15:presenceInfo w15:providerId="AD" w15:userId="S::stead@lancaster.ac.uk::8e2b2dba-6b4d-41a5-90a8-01f5b7c55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3"/>
    <w:rsid w:val="00003D69"/>
    <w:rsid w:val="00004AAE"/>
    <w:rsid w:val="00006FE4"/>
    <w:rsid w:val="00011541"/>
    <w:rsid w:val="000117D2"/>
    <w:rsid w:val="00012000"/>
    <w:rsid w:val="00025DA7"/>
    <w:rsid w:val="000276D5"/>
    <w:rsid w:val="00027A34"/>
    <w:rsid w:val="00027AAA"/>
    <w:rsid w:val="0003042B"/>
    <w:rsid w:val="000373E1"/>
    <w:rsid w:val="00044AE9"/>
    <w:rsid w:val="00055861"/>
    <w:rsid w:val="00056F99"/>
    <w:rsid w:val="00060919"/>
    <w:rsid w:val="000636AC"/>
    <w:rsid w:val="0006375B"/>
    <w:rsid w:val="00064967"/>
    <w:rsid w:val="00066A12"/>
    <w:rsid w:val="00070D8E"/>
    <w:rsid w:val="00071BD7"/>
    <w:rsid w:val="000727C0"/>
    <w:rsid w:val="00073C98"/>
    <w:rsid w:val="00082C57"/>
    <w:rsid w:val="00083F10"/>
    <w:rsid w:val="000848B5"/>
    <w:rsid w:val="000879DB"/>
    <w:rsid w:val="00095065"/>
    <w:rsid w:val="000954BF"/>
    <w:rsid w:val="000A4610"/>
    <w:rsid w:val="000A5D7F"/>
    <w:rsid w:val="000B0473"/>
    <w:rsid w:val="000B2126"/>
    <w:rsid w:val="000B50E9"/>
    <w:rsid w:val="000C1794"/>
    <w:rsid w:val="000C3948"/>
    <w:rsid w:val="000C7091"/>
    <w:rsid w:val="000D0080"/>
    <w:rsid w:val="000D3115"/>
    <w:rsid w:val="000E3625"/>
    <w:rsid w:val="000E3E1E"/>
    <w:rsid w:val="000E5A2E"/>
    <w:rsid w:val="000F22F3"/>
    <w:rsid w:val="00101292"/>
    <w:rsid w:val="00103921"/>
    <w:rsid w:val="00107081"/>
    <w:rsid w:val="00127FA4"/>
    <w:rsid w:val="00134D8E"/>
    <w:rsid w:val="001363CA"/>
    <w:rsid w:val="001376A0"/>
    <w:rsid w:val="001403BD"/>
    <w:rsid w:val="00140C5A"/>
    <w:rsid w:val="00141D6B"/>
    <w:rsid w:val="00144EE8"/>
    <w:rsid w:val="00155706"/>
    <w:rsid w:val="001642A3"/>
    <w:rsid w:val="0016579E"/>
    <w:rsid w:val="0016700C"/>
    <w:rsid w:val="001722C3"/>
    <w:rsid w:val="00173D0D"/>
    <w:rsid w:val="00175D5F"/>
    <w:rsid w:val="00180E6D"/>
    <w:rsid w:val="00187914"/>
    <w:rsid w:val="00192897"/>
    <w:rsid w:val="00192B20"/>
    <w:rsid w:val="00194330"/>
    <w:rsid w:val="001A7C94"/>
    <w:rsid w:val="001B0921"/>
    <w:rsid w:val="001B1C08"/>
    <w:rsid w:val="001B63B4"/>
    <w:rsid w:val="001C3EEF"/>
    <w:rsid w:val="001C43C0"/>
    <w:rsid w:val="001D1473"/>
    <w:rsid w:val="001D3164"/>
    <w:rsid w:val="001D3854"/>
    <w:rsid w:val="001D5531"/>
    <w:rsid w:val="001E3174"/>
    <w:rsid w:val="001F0EEA"/>
    <w:rsid w:val="001F3100"/>
    <w:rsid w:val="001F58AC"/>
    <w:rsid w:val="00202274"/>
    <w:rsid w:val="00202F83"/>
    <w:rsid w:val="00205E80"/>
    <w:rsid w:val="00211FCC"/>
    <w:rsid w:val="0021238C"/>
    <w:rsid w:val="00212C65"/>
    <w:rsid w:val="00221311"/>
    <w:rsid w:val="00227C6D"/>
    <w:rsid w:val="0023237A"/>
    <w:rsid w:val="00232CA3"/>
    <w:rsid w:val="00240B45"/>
    <w:rsid w:val="00245F3E"/>
    <w:rsid w:val="00247938"/>
    <w:rsid w:val="00251D10"/>
    <w:rsid w:val="00252636"/>
    <w:rsid w:val="00253169"/>
    <w:rsid w:val="00263A2F"/>
    <w:rsid w:val="002657E8"/>
    <w:rsid w:val="00266C70"/>
    <w:rsid w:val="002760C5"/>
    <w:rsid w:val="002777DD"/>
    <w:rsid w:val="002838BD"/>
    <w:rsid w:val="00292C74"/>
    <w:rsid w:val="002953DF"/>
    <w:rsid w:val="002A16B1"/>
    <w:rsid w:val="002B19CD"/>
    <w:rsid w:val="002B7DE2"/>
    <w:rsid w:val="002C4AE1"/>
    <w:rsid w:val="002D016B"/>
    <w:rsid w:val="002D1753"/>
    <w:rsid w:val="002D6BC3"/>
    <w:rsid w:val="002E0E92"/>
    <w:rsid w:val="002E1A6C"/>
    <w:rsid w:val="002E6182"/>
    <w:rsid w:val="002F26AA"/>
    <w:rsid w:val="002F4362"/>
    <w:rsid w:val="002F74AD"/>
    <w:rsid w:val="00304E40"/>
    <w:rsid w:val="00305C09"/>
    <w:rsid w:val="0031420E"/>
    <w:rsid w:val="00321147"/>
    <w:rsid w:val="0032687A"/>
    <w:rsid w:val="00326C25"/>
    <w:rsid w:val="0032721C"/>
    <w:rsid w:val="00330BBC"/>
    <w:rsid w:val="00344777"/>
    <w:rsid w:val="003477A8"/>
    <w:rsid w:val="00350684"/>
    <w:rsid w:val="003511A4"/>
    <w:rsid w:val="003577EB"/>
    <w:rsid w:val="00360149"/>
    <w:rsid w:val="003877D8"/>
    <w:rsid w:val="003877DB"/>
    <w:rsid w:val="0039284F"/>
    <w:rsid w:val="003A50B8"/>
    <w:rsid w:val="003C27FB"/>
    <w:rsid w:val="003C3C7E"/>
    <w:rsid w:val="003C6F38"/>
    <w:rsid w:val="003D082D"/>
    <w:rsid w:val="003D0F3F"/>
    <w:rsid w:val="003D1C91"/>
    <w:rsid w:val="003D77FC"/>
    <w:rsid w:val="003E05C9"/>
    <w:rsid w:val="003E16BC"/>
    <w:rsid w:val="003E354E"/>
    <w:rsid w:val="003E6111"/>
    <w:rsid w:val="003E6B57"/>
    <w:rsid w:val="003F7E1E"/>
    <w:rsid w:val="00403685"/>
    <w:rsid w:val="00405C70"/>
    <w:rsid w:val="00410E31"/>
    <w:rsid w:val="00417D87"/>
    <w:rsid w:val="004229CB"/>
    <w:rsid w:val="00422B55"/>
    <w:rsid w:val="004304D9"/>
    <w:rsid w:val="004371AE"/>
    <w:rsid w:val="0044401E"/>
    <w:rsid w:val="00446A58"/>
    <w:rsid w:val="00456F07"/>
    <w:rsid w:val="004606A8"/>
    <w:rsid w:val="00464D2C"/>
    <w:rsid w:val="004653A1"/>
    <w:rsid w:val="004653E3"/>
    <w:rsid w:val="00465884"/>
    <w:rsid w:val="00467B0F"/>
    <w:rsid w:val="00472963"/>
    <w:rsid w:val="004747CB"/>
    <w:rsid w:val="004837D0"/>
    <w:rsid w:val="00486575"/>
    <w:rsid w:val="00491677"/>
    <w:rsid w:val="00497D47"/>
    <w:rsid w:val="004A27FD"/>
    <w:rsid w:val="004B1897"/>
    <w:rsid w:val="004B4004"/>
    <w:rsid w:val="004B4F87"/>
    <w:rsid w:val="004C0B99"/>
    <w:rsid w:val="004C3512"/>
    <w:rsid w:val="004C73AC"/>
    <w:rsid w:val="004D252E"/>
    <w:rsid w:val="004D4210"/>
    <w:rsid w:val="004D6DBE"/>
    <w:rsid w:val="004E42BA"/>
    <w:rsid w:val="004E602E"/>
    <w:rsid w:val="004E6A88"/>
    <w:rsid w:val="004E6E02"/>
    <w:rsid w:val="004F25A0"/>
    <w:rsid w:val="004F4FED"/>
    <w:rsid w:val="004F70AF"/>
    <w:rsid w:val="004F75A0"/>
    <w:rsid w:val="00500E1C"/>
    <w:rsid w:val="0050251B"/>
    <w:rsid w:val="00507B3B"/>
    <w:rsid w:val="005103FD"/>
    <w:rsid w:val="00513969"/>
    <w:rsid w:val="0051581F"/>
    <w:rsid w:val="00520071"/>
    <w:rsid w:val="00521A22"/>
    <w:rsid w:val="00527583"/>
    <w:rsid w:val="00530809"/>
    <w:rsid w:val="00534203"/>
    <w:rsid w:val="00546813"/>
    <w:rsid w:val="005509AA"/>
    <w:rsid w:val="00551E03"/>
    <w:rsid w:val="005606BD"/>
    <w:rsid w:val="005635A7"/>
    <w:rsid w:val="00567AA6"/>
    <w:rsid w:val="00574E08"/>
    <w:rsid w:val="005915AA"/>
    <w:rsid w:val="005943F7"/>
    <w:rsid w:val="00595B4F"/>
    <w:rsid w:val="00596CE5"/>
    <w:rsid w:val="00597ADE"/>
    <w:rsid w:val="005A1CF6"/>
    <w:rsid w:val="005A3449"/>
    <w:rsid w:val="005A507A"/>
    <w:rsid w:val="005B2BA4"/>
    <w:rsid w:val="005B3B02"/>
    <w:rsid w:val="005C05B1"/>
    <w:rsid w:val="005C4345"/>
    <w:rsid w:val="005C43AF"/>
    <w:rsid w:val="005C53F0"/>
    <w:rsid w:val="005D5726"/>
    <w:rsid w:val="005E14EC"/>
    <w:rsid w:val="005E6A8B"/>
    <w:rsid w:val="005F7016"/>
    <w:rsid w:val="006028F1"/>
    <w:rsid w:val="00604756"/>
    <w:rsid w:val="00605DD6"/>
    <w:rsid w:val="006111DA"/>
    <w:rsid w:val="006216BD"/>
    <w:rsid w:val="006226CE"/>
    <w:rsid w:val="00623D65"/>
    <w:rsid w:val="006256F2"/>
    <w:rsid w:val="00626467"/>
    <w:rsid w:val="006266C6"/>
    <w:rsid w:val="006275A1"/>
    <w:rsid w:val="00630505"/>
    <w:rsid w:val="006324EC"/>
    <w:rsid w:val="00635CE4"/>
    <w:rsid w:val="00640BA7"/>
    <w:rsid w:val="00642319"/>
    <w:rsid w:val="00650DE4"/>
    <w:rsid w:val="00653892"/>
    <w:rsid w:val="006557C3"/>
    <w:rsid w:val="00657050"/>
    <w:rsid w:val="00660BC4"/>
    <w:rsid w:val="006701CD"/>
    <w:rsid w:val="00680F58"/>
    <w:rsid w:val="00681BA0"/>
    <w:rsid w:val="006828A8"/>
    <w:rsid w:val="006B25E7"/>
    <w:rsid w:val="006B7425"/>
    <w:rsid w:val="006C262C"/>
    <w:rsid w:val="006E1F89"/>
    <w:rsid w:val="006E2EAC"/>
    <w:rsid w:val="006F3D52"/>
    <w:rsid w:val="006F3DD5"/>
    <w:rsid w:val="006F5468"/>
    <w:rsid w:val="006F66A3"/>
    <w:rsid w:val="0070141A"/>
    <w:rsid w:val="00701AA9"/>
    <w:rsid w:val="007035A4"/>
    <w:rsid w:val="007053C7"/>
    <w:rsid w:val="00706CE0"/>
    <w:rsid w:val="00706F84"/>
    <w:rsid w:val="00713FDD"/>
    <w:rsid w:val="00721BA6"/>
    <w:rsid w:val="00723BFE"/>
    <w:rsid w:val="00723DBB"/>
    <w:rsid w:val="007246B9"/>
    <w:rsid w:val="00727604"/>
    <w:rsid w:val="0073266E"/>
    <w:rsid w:val="00735432"/>
    <w:rsid w:val="00737752"/>
    <w:rsid w:val="00742B2C"/>
    <w:rsid w:val="00752510"/>
    <w:rsid w:val="00756023"/>
    <w:rsid w:val="0076473A"/>
    <w:rsid w:val="00771E41"/>
    <w:rsid w:val="00773061"/>
    <w:rsid w:val="007778D1"/>
    <w:rsid w:val="00777A6F"/>
    <w:rsid w:val="00781879"/>
    <w:rsid w:val="007853A6"/>
    <w:rsid w:val="00791871"/>
    <w:rsid w:val="00796DA9"/>
    <w:rsid w:val="007A2B43"/>
    <w:rsid w:val="007A53BD"/>
    <w:rsid w:val="007B6794"/>
    <w:rsid w:val="007B7AA6"/>
    <w:rsid w:val="007D0F06"/>
    <w:rsid w:val="007D3A1E"/>
    <w:rsid w:val="007D7F7C"/>
    <w:rsid w:val="007E4430"/>
    <w:rsid w:val="007E4D9A"/>
    <w:rsid w:val="007E6EB1"/>
    <w:rsid w:val="007F268E"/>
    <w:rsid w:val="007F6469"/>
    <w:rsid w:val="00805639"/>
    <w:rsid w:val="00805E19"/>
    <w:rsid w:val="008065BC"/>
    <w:rsid w:val="00810401"/>
    <w:rsid w:val="008161CD"/>
    <w:rsid w:val="008252E5"/>
    <w:rsid w:val="00825B0D"/>
    <w:rsid w:val="00832627"/>
    <w:rsid w:val="008347D3"/>
    <w:rsid w:val="00835A4A"/>
    <w:rsid w:val="008411A2"/>
    <w:rsid w:val="00843D40"/>
    <w:rsid w:val="00844507"/>
    <w:rsid w:val="00847FCC"/>
    <w:rsid w:val="00854E4D"/>
    <w:rsid w:val="00856E61"/>
    <w:rsid w:val="008573EC"/>
    <w:rsid w:val="00866A3B"/>
    <w:rsid w:val="008724E6"/>
    <w:rsid w:val="00872992"/>
    <w:rsid w:val="00873C46"/>
    <w:rsid w:val="00873FDF"/>
    <w:rsid w:val="00875717"/>
    <w:rsid w:val="008810BD"/>
    <w:rsid w:val="00886318"/>
    <w:rsid w:val="00887DCE"/>
    <w:rsid w:val="008900E8"/>
    <w:rsid w:val="00894619"/>
    <w:rsid w:val="008A1746"/>
    <w:rsid w:val="008A1A63"/>
    <w:rsid w:val="008A23A9"/>
    <w:rsid w:val="008A5FB5"/>
    <w:rsid w:val="008A6012"/>
    <w:rsid w:val="008B3351"/>
    <w:rsid w:val="008C43E2"/>
    <w:rsid w:val="008C5234"/>
    <w:rsid w:val="008C65D8"/>
    <w:rsid w:val="008C673F"/>
    <w:rsid w:val="008C6F5C"/>
    <w:rsid w:val="008D07FE"/>
    <w:rsid w:val="008D66F0"/>
    <w:rsid w:val="008E6320"/>
    <w:rsid w:val="008E67D1"/>
    <w:rsid w:val="008E6EFF"/>
    <w:rsid w:val="008F03C9"/>
    <w:rsid w:val="008F08A9"/>
    <w:rsid w:val="008F3997"/>
    <w:rsid w:val="00913960"/>
    <w:rsid w:val="009165E9"/>
    <w:rsid w:val="009166E0"/>
    <w:rsid w:val="0092049C"/>
    <w:rsid w:val="0092431E"/>
    <w:rsid w:val="00925E04"/>
    <w:rsid w:val="00926D13"/>
    <w:rsid w:val="00934FB5"/>
    <w:rsid w:val="00942D90"/>
    <w:rsid w:val="009515DC"/>
    <w:rsid w:val="00952E9C"/>
    <w:rsid w:val="00953538"/>
    <w:rsid w:val="009537A4"/>
    <w:rsid w:val="00967C63"/>
    <w:rsid w:val="00970E10"/>
    <w:rsid w:val="009727E2"/>
    <w:rsid w:val="00983A81"/>
    <w:rsid w:val="00992059"/>
    <w:rsid w:val="00993024"/>
    <w:rsid w:val="00993C79"/>
    <w:rsid w:val="00993D22"/>
    <w:rsid w:val="009A25C6"/>
    <w:rsid w:val="009B458A"/>
    <w:rsid w:val="009B6F52"/>
    <w:rsid w:val="009B7926"/>
    <w:rsid w:val="009C15C5"/>
    <w:rsid w:val="009C2082"/>
    <w:rsid w:val="009D0C5C"/>
    <w:rsid w:val="009D1A80"/>
    <w:rsid w:val="009D2183"/>
    <w:rsid w:val="009D7816"/>
    <w:rsid w:val="009E6A88"/>
    <w:rsid w:val="009E7445"/>
    <w:rsid w:val="009F2B6D"/>
    <w:rsid w:val="00A04C98"/>
    <w:rsid w:val="00A0709B"/>
    <w:rsid w:val="00A217F8"/>
    <w:rsid w:val="00A26F38"/>
    <w:rsid w:val="00A27305"/>
    <w:rsid w:val="00A27A36"/>
    <w:rsid w:val="00A4288A"/>
    <w:rsid w:val="00A43338"/>
    <w:rsid w:val="00A471B1"/>
    <w:rsid w:val="00A5053D"/>
    <w:rsid w:val="00A56334"/>
    <w:rsid w:val="00A60694"/>
    <w:rsid w:val="00A653BC"/>
    <w:rsid w:val="00A7511C"/>
    <w:rsid w:val="00A7627D"/>
    <w:rsid w:val="00A8046C"/>
    <w:rsid w:val="00A8471A"/>
    <w:rsid w:val="00A941F0"/>
    <w:rsid w:val="00A96B6C"/>
    <w:rsid w:val="00A97AA8"/>
    <w:rsid w:val="00A97B12"/>
    <w:rsid w:val="00AA18F9"/>
    <w:rsid w:val="00AA4B31"/>
    <w:rsid w:val="00AB0DD8"/>
    <w:rsid w:val="00AB7DE0"/>
    <w:rsid w:val="00AC2477"/>
    <w:rsid w:val="00AD0099"/>
    <w:rsid w:val="00AD1CF1"/>
    <w:rsid w:val="00AD1CF7"/>
    <w:rsid w:val="00AD317C"/>
    <w:rsid w:val="00AD7D3E"/>
    <w:rsid w:val="00AE2159"/>
    <w:rsid w:val="00AE44ED"/>
    <w:rsid w:val="00AE4CDC"/>
    <w:rsid w:val="00AF0349"/>
    <w:rsid w:val="00AF1E11"/>
    <w:rsid w:val="00B00527"/>
    <w:rsid w:val="00B0296A"/>
    <w:rsid w:val="00B046AA"/>
    <w:rsid w:val="00B2045E"/>
    <w:rsid w:val="00B249CC"/>
    <w:rsid w:val="00B335A6"/>
    <w:rsid w:val="00B34016"/>
    <w:rsid w:val="00B36AA3"/>
    <w:rsid w:val="00B40B40"/>
    <w:rsid w:val="00B54536"/>
    <w:rsid w:val="00B56D25"/>
    <w:rsid w:val="00B70765"/>
    <w:rsid w:val="00B70DA1"/>
    <w:rsid w:val="00B71DF7"/>
    <w:rsid w:val="00B903B4"/>
    <w:rsid w:val="00B90425"/>
    <w:rsid w:val="00B92222"/>
    <w:rsid w:val="00B96104"/>
    <w:rsid w:val="00BA4D4E"/>
    <w:rsid w:val="00BB0BAD"/>
    <w:rsid w:val="00BC0512"/>
    <w:rsid w:val="00BD0630"/>
    <w:rsid w:val="00BD2BB3"/>
    <w:rsid w:val="00BD5090"/>
    <w:rsid w:val="00BD621F"/>
    <w:rsid w:val="00BE0C07"/>
    <w:rsid w:val="00BE73A4"/>
    <w:rsid w:val="00BF4B12"/>
    <w:rsid w:val="00C002B1"/>
    <w:rsid w:val="00C12916"/>
    <w:rsid w:val="00C139E1"/>
    <w:rsid w:val="00C20BF5"/>
    <w:rsid w:val="00C24191"/>
    <w:rsid w:val="00C318FF"/>
    <w:rsid w:val="00C423F3"/>
    <w:rsid w:val="00C438F6"/>
    <w:rsid w:val="00C43BDD"/>
    <w:rsid w:val="00C46D6B"/>
    <w:rsid w:val="00C502E8"/>
    <w:rsid w:val="00C511BD"/>
    <w:rsid w:val="00C52E76"/>
    <w:rsid w:val="00C55F03"/>
    <w:rsid w:val="00C61599"/>
    <w:rsid w:val="00C62DC6"/>
    <w:rsid w:val="00C64EE1"/>
    <w:rsid w:val="00C65096"/>
    <w:rsid w:val="00C654DD"/>
    <w:rsid w:val="00C73854"/>
    <w:rsid w:val="00C779D9"/>
    <w:rsid w:val="00C86436"/>
    <w:rsid w:val="00C87E7A"/>
    <w:rsid w:val="00C90B59"/>
    <w:rsid w:val="00C916D6"/>
    <w:rsid w:val="00CA165A"/>
    <w:rsid w:val="00CA205F"/>
    <w:rsid w:val="00CA2E9F"/>
    <w:rsid w:val="00CB050E"/>
    <w:rsid w:val="00CB1E47"/>
    <w:rsid w:val="00CB415C"/>
    <w:rsid w:val="00CB6881"/>
    <w:rsid w:val="00CC1757"/>
    <w:rsid w:val="00CC78AD"/>
    <w:rsid w:val="00CD2E10"/>
    <w:rsid w:val="00CF11AA"/>
    <w:rsid w:val="00CF602D"/>
    <w:rsid w:val="00CF65CA"/>
    <w:rsid w:val="00D006F3"/>
    <w:rsid w:val="00D07D00"/>
    <w:rsid w:val="00D105A7"/>
    <w:rsid w:val="00D10A33"/>
    <w:rsid w:val="00D119A3"/>
    <w:rsid w:val="00D17EF2"/>
    <w:rsid w:val="00D20F9D"/>
    <w:rsid w:val="00D33325"/>
    <w:rsid w:val="00D37628"/>
    <w:rsid w:val="00D40A8E"/>
    <w:rsid w:val="00D42497"/>
    <w:rsid w:val="00D52917"/>
    <w:rsid w:val="00D63EF5"/>
    <w:rsid w:val="00D64CB7"/>
    <w:rsid w:val="00D67270"/>
    <w:rsid w:val="00D67635"/>
    <w:rsid w:val="00D71917"/>
    <w:rsid w:val="00D71A70"/>
    <w:rsid w:val="00D761DE"/>
    <w:rsid w:val="00DB7E52"/>
    <w:rsid w:val="00DC4D5E"/>
    <w:rsid w:val="00DD2634"/>
    <w:rsid w:val="00DD57DB"/>
    <w:rsid w:val="00DD5913"/>
    <w:rsid w:val="00DE07F5"/>
    <w:rsid w:val="00DE15C6"/>
    <w:rsid w:val="00DE2B96"/>
    <w:rsid w:val="00DE5209"/>
    <w:rsid w:val="00DE7FD5"/>
    <w:rsid w:val="00DF15A5"/>
    <w:rsid w:val="00DF1918"/>
    <w:rsid w:val="00DF4A98"/>
    <w:rsid w:val="00E05AF0"/>
    <w:rsid w:val="00E241CB"/>
    <w:rsid w:val="00E2455B"/>
    <w:rsid w:val="00E25322"/>
    <w:rsid w:val="00E27351"/>
    <w:rsid w:val="00E30CC7"/>
    <w:rsid w:val="00E327E8"/>
    <w:rsid w:val="00E3331C"/>
    <w:rsid w:val="00E44953"/>
    <w:rsid w:val="00E4543F"/>
    <w:rsid w:val="00E46934"/>
    <w:rsid w:val="00E47AA7"/>
    <w:rsid w:val="00E50394"/>
    <w:rsid w:val="00E527F3"/>
    <w:rsid w:val="00E576B2"/>
    <w:rsid w:val="00E67569"/>
    <w:rsid w:val="00E75479"/>
    <w:rsid w:val="00E75949"/>
    <w:rsid w:val="00E82C1E"/>
    <w:rsid w:val="00E8573C"/>
    <w:rsid w:val="00EA051D"/>
    <w:rsid w:val="00EA16E8"/>
    <w:rsid w:val="00EA177F"/>
    <w:rsid w:val="00EB1616"/>
    <w:rsid w:val="00EB1C39"/>
    <w:rsid w:val="00EB4396"/>
    <w:rsid w:val="00EC1098"/>
    <w:rsid w:val="00EC232D"/>
    <w:rsid w:val="00EE0B8E"/>
    <w:rsid w:val="00EE5E72"/>
    <w:rsid w:val="00EE659C"/>
    <w:rsid w:val="00EF27A7"/>
    <w:rsid w:val="00EF5651"/>
    <w:rsid w:val="00EF5F25"/>
    <w:rsid w:val="00F00E22"/>
    <w:rsid w:val="00F02299"/>
    <w:rsid w:val="00F031D7"/>
    <w:rsid w:val="00F065E9"/>
    <w:rsid w:val="00F06B8E"/>
    <w:rsid w:val="00F10EF9"/>
    <w:rsid w:val="00F15470"/>
    <w:rsid w:val="00F23258"/>
    <w:rsid w:val="00F261FA"/>
    <w:rsid w:val="00F3056E"/>
    <w:rsid w:val="00F323F0"/>
    <w:rsid w:val="00F33A78"/>
    <w:rsid w:val="00F43A00"/>
    <w:rsid w:val="00F43DC7"/>
    <w:rsid w:val="00F51E17"/>
    <w:rsid w:val="00F559AF"/>
    <w:rsid w:val="00F559F5"/>
    <w:rsid w:val="00F617DE"/>
    <w:rsid w:val="00F801B8"/>
    <w:rsid w:val="00F84C36"/>
    <w:rsid w:val="00F9465B"/>
    <w:rsid w:val="00F94C0F"/>
    <w:rsid w:val="00F9732C"/>
    <w:rsid w:val="00F97DC3"/>
    <w:rsid w:val="00FB1AD3"/>
    <w:rsid w:val="00FB39CB"/>
    <w:rsid w:val="00FB5812"/>
    <w:rsid w:val="00FB7153"/>
    <w:rsid w:val="00FB7952"/>
    <w:rsid w:val="00FD2445"/>
    <w:rsid w:val="00FD25C2"/>
    <w:rsid w:val="00FD26C8"/>
    <w:rsid w:val="00FD27B3"/>
    <w:rsid w:val="00FD2BC4"/>
    <w:rsid w:val="00FD2E5C"/>
    <w:rsid w:val="00FD4F84"/>
    <w:rsid w:val="00FD5295"/>
    <w:rsid w:val="00FD669D"/>
    <w:rsid w:val="00FE63AC"/>
    <w:rsid w:val="00FF15FD"/>
    <w:rsid w:val="00FF2351"/>
    <w:rsid w:val="00FF4032"/>
    <w:rsid w:val="00FF5F79"/>
    <w:rsid w:val="05740F1B"/>
    <w:rsid w:val="1F5D4864"/>
    <w:rsid w:val="2703EF30"/>
    <w:rsid w:val="4BAECABB"/>
    <w:rsid w:val="5145A750"/>
    <w:rsid w:val="5BCDF15C"/>
    <w:rsid w:val="66580BDA"/>
    <w:rsid w:val="739C7F41"/>
    <w:rsid w:val="767359A8"/>
    <w:rsid w:val="768A3A06"/>
    <w:rsid w:val="78AD8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0A17B36"/>
  <w14:defaultImageDpi w14:val="32767"/>
  <w15:chartTrackingRefBased/>
  <w15:docId w15:val="{17A5A927-EF34-422B-87AB-EEE3A67B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Calibri Light"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lang w:eastAsia="en-US"/>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imes New Roman" w:eastAsia="Times New Roman" w:hAnsi="Times New Roman"/>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imes New Roman" w:eastAsia="Times New Roman" w:hAnsi="Times New Roman"/>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imes New Roman" w:eastAsia="Times New Roman" w:hAnsi="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sz w:val="18"/>
      <w:szCs w:val="18"/>
    </w:rPr>
  </w:style>
  <w:style w:type="character" w:customStyle="1" w:styleId="FooterChar">
    <w:name w:val="Footer Char"/>
    <w:link w:val="Footer"/>
    <w:uiPriority w:val="99"/>
    <w:rsid w:val="001D1473"/>
    <w:rPr>
      <w:noProof/>
      <w:color w:val="FFFFFF"/>
      <w:sz w:val="18"/>
      <w:szCs w:val="18"/>
    </w:rPr>
  </w:style>
  <w:style w:type="paragraph" w:customStyle="1" w:styleId="PageNumberinCircle">
    <w:name w:val="Page Number in Circle"/>
    <w:qFormat/>
    <w:rsid w:val="00BD2BB3"/>
    <w:pPr>
      <w:framePr w:wrap="notBeside" w:vAnchor="page" w:hAnchor="text" w:y="1"/>
      <w:spacing w:after="160" w:line="259" w:lineRule="auto"/>
    </w:pPr>
    <w:rPr>
      <w:rFonts w:ascii="Times New Roman" w:hAnsi="Times New Roman"/>
      <w:caps/>
      <w:spacing w:val="12"/>
      <w:sz w:val="16"/>
      <w:szCs w:val="16"/>
      <w:lang w:eastAsia="en-US"/>
    </w:rPr>
  </w:style>
  <w:style w:type="character" w:customStyle="1" w:styleId="Heading1Char">
    <w:name w:val="Heading 1 Char"/>
    <w:link w:val="Heading1"/>
    <w:uiPriority w:val="9"/>
    <w:rsid w:val="00467B0F"/>
    <w:rPr>
      <w:rFonts w:ascii="Times New Roman" w:eastAsia="Times New Roman" w:hAnsi="Times New Roman" w:cs="Times New Roman"/>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lang w:eastAsia="en-US"/>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spacing w:after="160" w:line="259" w:lineRule="auto"/>
      <w:jc w:val="right"/>
    </w:pPr>
    <w:rPr>
      <w:rFonts w:ascii="Calibri" w:hAnsi="Calibri"/>
      <w:b/>
      <w:caps/>
      <w:noProof/>
      <w:color w:val="FFFFFF"/>
      <w:spacing w:val="12"/>
      <w:sz w:val="24"/>
      <w:lang w:eastAsia="en-US"/>
    </w:rPr>
  </w:style>
  <w:style w:type="paragraph" w:customStyle="1" w:styleId="CoverTitle">
    <w:name w:val="Cover Title"/>
    <w:next w:val="BodyText"/>
    <w:qFormat/>
    <w:rsid w:val="00D33325"/>
    <w:pPr>
      <w:spacing w:after="360"/>
    </w:pPr>
    <w:rPr>
      <w:rFonts w:ascii="Times New Roman" w:hAnsi="Times New Roman"/>
      <w:b/>
      <w:bCs/>
      <w:color w:val="FFFFFF"/>
      <w:sz w:val="136"/>
      <w:szCs w:val="136"/>
      <w:lang w:eastAsia="en-US"/>
    </w:rPr>
  </w:style>
  <w:style w:type="paragraph" w:customStyle="1" w:styleId="CoverSubtitle">
    <w:name w:val="Cover Subtitle"/>
    <w:qFormat/>
    <w:rsid w:val="001642A3"/>
    <w:pPr>
      <w:spacing w:after="160" w:line="259" w:lineRule="auto"/>
    </w:pPr>
    <w:rPr>
      <w:color w:val="FFFFFF"/>
      <w:sz w:val="48"/>
      <w:szCs w:val="48"/>
      <w:lang w:eastAsia="en-US"/>
    </w:rPr>
  </w:style>
  <w:style w:type="paragraph" w:customStyle="1" w:styleId="CoverBodyText">
    <w:name w:val="Cover Body Text"/>
    <w:basedOn w:val="BodyText"/>
    <w:qFormat/>
    <w:rsid w:val="003E16BC"/>
    <w:rPr>
      <w:color w:val="FFFFFF"/>
    </w:rPr>
  </w:style>
  <w:style w:type="paragraph" w:styleId="NoSpacing">
    <w:name w:val="No Spacing"/>
    <w:uiPriority w:val="1"/>
    <w:qFormat/>
    <w:rsid w:val="00FD2445"/>
    <w:rPr>
      <w:sz w:val="24"/>
      <w:szCs w:val="24"/>
      <w:lang w:eastAsia="en-US"/>
    </w:rPr>
  </w:style>
  <w:style w:type="table" w:styleId="TableGrid">
    <w:name w:val="Table Grid"/>
    <w:basedOn w:val="TableNormal"/>
    <w:uiPriority w:val="39"/>
    <w:rsid w:val="006F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pPr>
  </w:style>
  <w:style w:type="character" w:customStyle="1" w:styleId="HighlightBold">
    <w:name w:val="Highlight Bold"/>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imes New Roman" w:hAnsi="Times New Roman"/>
      <w:b/>
      <w:bCs/>
      <w:color w:val="000000"/>
      <w:sz w:val="30"/>
      <w:szCs w:val="30"/>
      <w:lang w:eastAsia="en-US"/>
    </w:rPr>
  </w:style>
  <w:style w:type="paragraph" w:customStyle="1" w:styleId="Default">
    <w:name w:val="Default"/>
    <w:rsid w:val="00C12916"/>
    <w:pPr>
      <w:autoSpaceDE w:val="0"/>
      <w:autoSpaceDN w:val="0"/>
      <w:adjustRightInd w:val="0"/>
    </w:pPr>
    <w:rPr>
      <w:rFonts w:ascii="Times" w:hAnsi="Times" w:cs="Times"/>
      <w:color w:val="000000"/>
      <w:sz w:val="24"/>
      <w:szCs w:val="24"/>
      <w:lang w:eastAsia="en-US"/>
    </w:rPr>
  </w:style>
  <w:style w:type="paragraph" w:customStyle="1" w:styleId="BackCoverText">
    <w:name w:val="Back Cover Text"/>
    <w:basedOn w:val="Normal"/>
    <w:qFormat/>
    <w:rsid w:val="00E327E8"/>
    <w:pPr>
      <w:spacing w:line="320" w:lineRule="exact"/>
      <w:ind w:right="5273"/>
    </w:pPr>
    <w:rPr>
      <w:color w:val="FFFFFF"/>
    </w:rPr>
  </w:style>
  <w:style w:type="character" w:styleId="UnresolvedMention">
    <w:name w:val="Unresolved Mention"/>
    <w:uiPriority w:val="99"/>
    <w:semiHidden/>
    <w:unhideWhenUsed/>
    <w:rsid w:val="001D1473"/>
    <w:rPr>
      <w:color w:val="605E5C"/>
      <w:shd w:val="clear" w:color="auto" w:fill="E1DFDD"/>
    </w:rPr>
  </w:style>
  <w:style w:type="character" w:customStyle="1" w:styleId="BackCoverHyperlink">
    <w:name w:val="Back Cover Hyperlink"/>
    <w:uiPriority w:val="1"/>
    <w:qFormat/>
    <w:rsid w:val="00934FB5"/>
    <w:rPr>
      <w:color w:val="FFFFFF"/>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uiPriority w:val="99"/>
    <w:unhideWhenUsed/>
    <w:rsid w:val="00C12916"/>
    <w:rPr>
      <w:color w:val="000000"/>
      <w:u w:val="single"/>
    </w:rPr>
  </w:style>
  <w:style w:type="paragraph" w:customStyle="1" w:styleId="BibliographyHeading">
    <w:name w:val="Bibliography Heading"/>
    <w:basedOn w:val="Heading1"/>
    <w:qFormat/>
    <w:rsid w:val="00F43DC7"/>
  </w:style>
  <w:style w:type="character" w:customStyle="1" w:styleId="Heading3Char">
    <w:name w:val="Heading 3 Char"/>
    <w:link w:val="Heading3"/>
    <w:uiPriority w:val="9"/>
    <w:rsid w:val="00E27351"/>
    <w:rPr>
      <w:rFonts w:ascii="Times New Roman" w:eastAsia="Times New Roman" w:hAnsi="Times New Roman" w:cs="Times New Roman"/>
      <w:b/>
      <w:bCs/>
      <w:color w:val="000000"/>
      <w:sz w:val="30"/>
      <w:szCs w:val="30"/>
    </w:rPr>
  </w:style>
  <w:style w:type="paragraph" w:styleId="TOC1">
    <w:name w:val="toc 1"/>
    <w:basedOn w:val="Normal"/>
    <w:next w:val="Normal"/>
    <w:autoRedefine/>
    <w:uiPriority w:val="39"/>
    <w:unhideWhenUsed/>
    <w:rsid w:val="004229CB"/>
    <w:pPr>
      <w:pBdr>
        <w:top w:val="single" w:sz="4" w:space="6" w:color="CCE1FF"/>
        <w:bottom w:val="single" w:sz="4" w:space="8" w:color="CCE1FF"/>
        <w:between w:val="single" w:sz="4" w:space="6" w:color="CCE1FF"/>
      </w:pBdr>
      <w:tabs>
        <w:tab w:val="right" w:pos="8268"/>
      </w:tabs>
      <w:spacing w:after="0" w:line="320" w:lineRule="exact"/>
    </w:pPr>
    <w:rPr>
      <w:noProof/>
    </w:rPr>
  </w:style>
  <w:style w:type="character" w:customStyle="1" w:styleId="Heading2Char">
    <w:name w:val="Heading 2 Char"/>
    <w:link w:val="Heading2"/>
    <w:uiPriority w:val="9"/>
    <w:rsid w:val="000B50E9"/>
    <w:rPr>
      <w:rFonts w:ascii="Times New Roman" w:eastAsia="Times New Roman" w:hAnsi="Times New Roman" w:cs="Times New Roman"/>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imes New Roman" w:hAnsi="Times New Roman"/>
      <w:b/>
      <w:bCs/>
      <w:sz w:val="60"/>
      <w:szCs w:val="60"/>
    </w:rPr>
  </w:style>
  <w:style w:type="paragraph" w:customStyle="1" w:styleId="PullOutBoxText">
    <w:name w:val="Pull Out Box Text"/>
    <w:basedOn w:val="BodyText"/>
    <w:qFormat/>
    <w:rsid w:val="00E27351"/>
    <w:rPr>
      <w:color w:val="000000"/>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link w:val="EndnoteText"/>
    <w:uiPriority w:val="99"/>
    <w:semiHidden/>
    <w:rsid w:val="009C15C5"/>
    <w:rPr>
      <w:sz w:val="20"/>
      <w:szCs w:val="20"/>
    </w:rPr>
  </w:style>
  <w:style w:type="character" w:styleId="EndnoteReference">
    <w:name w:val="endnote reference"/>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uiPriority w:val="1"/>
    <w:qFormat/>
    <w:rsid w:val="008E6320"/>
    <w:rPr>
      <w:color w:val="FFFFFF"/>
      <w:sz w:val="18"/>
      <w:szCs w:val="20"/>
      <w:u w:val="none"/>
    </w:rPr>
  </w:style>
  <w:style w:type="character" w:customStyle="1" w:styleId="BackCoverISBN">
    <w:name w:val="Back Cover ISBN"/>
    <w:uiPriority w:val="1"/>
    <w:qFormat/>
    <w:rsid w:val="008E6320"/>
    <w:rPr>
      <w:color w:val="FFFFFF"/>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uiPriority w:val="1"/>
    <w:qFormat/>
    <w:rsid w:val="007B6794"/>
    <w:rPr>
      <w:color w:val="1D70EB"/>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character" w:styleId="CommentReference">
    <w:name w:val="annotation reference"/>
    <w:uiPriority w:val="99"/>
    <w:semiHidden/>
    <w:unhideWhenUsed/>
    <w:rsid w:val="00970E10"/>
    <w:rPr>
      <w:sz w:val="16"/>
      <w:szCs w:val="16"/>
    </w:rPr>
  </w:style>
  <w:style w:type="paragraph" w:styleId="CommentText">
    <w:name w:val="annotation text"/>
    <w:basedOn w:val="Normal"/>
    <w:link w:val="CommentTextChar"/>
    <w:uiPriority w:val="99"/>
    <w:unhideWhenUsed/>
    <w:rsid w:val="00970E10"/>
    <w:pPr>
      <w:spacing w:after="0" w:line="312" w:lineRule="auto"/>
    </w:pPr>
    <w:rPr>
      <w:rFonts w:ascii="Calibri" w:eastAsia="Calibri" w:hAnsi="Calibri"/>
      <w:sz w:val="20"/>
      <w:szCs w:val="20"/>
    </w:rPr>
  </w:style>
  <w:style w:type="character" w:customStyle="1" w:styleId="CommentTextChar">
    <w:name w:val="Comment Text Char"/>
    <w:link w:val="CommentText"/>
    <w:uiPriority w:val="99"/>
    <w:rsid w:val="00970E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7D1"/>
    <w:pPr>
      <w:spacing w:after="240" w:line="240" w:lineRule="auto"/>
    </w:pPr>
    <w:rPr>
      <w:rFonts w:ascii="Calibri Light" w:eastAsia="Calibri Light" w:hAnsi="Calibri Light"/>
      <w:b/>
      <w:bCs/>
    </w:rPr>
  </w:style>
  <w:style w:type="character" w:customStyle="1" w:styleId="CommentSubjectChar">
    <w:name w:val="Comment Subject Char"/>
    <w:link w:val="CommentSubject"/>
    <w:uiPriority w:val="99"/>
    <w:semiHidden/>
    <w:rsid w:val="008E67D1"/>
    <w:rPr>
      <w:rFonts w:ascii="Calibri" w:eastAsia="Calibri" w:hAnsi="Calibri" w:cs="Times New Roman"/>
      <w:b/>
      <w:bCs/>
      <w:sz w:val="20"/>
      <w:szCs w:val="20"/>
    </w:rPr>
  </w:style>
  <w:style w:type="paragraph" w:styleId="ListParagraph">
    <w:name w:val="List Paragraph"/>
    <w:basedOn w:val="Normal"/>
    <w:uiPriority w:val="34"/>
    <w:qFormat/>
    <w:rsid w:val="004D252E"/>
    <w:pPr>
      <w:spacing w:after="0" w:line="240" w:lineRule="auto"/>
      <w:ind w:left="720"/>
    </w:pPr>
    <w:rPr>
      <w:rFonts w:ascii="Calibri" w:eastAsiaTheme="minorHAnsi" w:hAnsi="Calibri" w:cs="Calibri"/>
      <w:sz w:val="22"/>
      <w:szCs w:val="22"/>
    </w:rPr>
  </w:style>
  <w:style w:type="paragraph" w:customStyle="1" w:styleId="xmsolistparagraph">
    <w:name w:val="x_msolistparagraph"/>
    <w:basedOn w:val="Normal"/>
    <w:uiPriority w:val="99"/>
    <w:rsid w:val="004D252E"/>
    <w:pPr>
      <w:spacing w:after="0" w:line="240" w:lineRule="auto"/>
    </w:pPr>
    <w:rPr>
      <w:rFonts w:ascii="Times New Roman" w:eastAsiaTheme="minorHAnsi" w:hAnsi="Times New Roman"/>
      <w:lang w:eastAsia="en-GB"/>
    </w:rPr>
  </w:style>
  <w:style w:type="table" w:customStyle="1" w:styleId="GridTable4-Accent51">
    <w:name w:val="Grid Table 4 - Accent 51"/>
    <w:basedOn w:val="TableNormal"/>
    <w:uiPriority w:val="49"/>
    <w:rsid w:val="00756023"/>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B2045E"/>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2045E"/>
  </w:style>
  <w:style w:type="character" w:customStyle="1" w:styleId="eop">
    <w:name w:val="eop"/>
    <w:basedOn w:val="DefaultParagraphFont"/>
    <w:rsid w:val="00B2045E"/>
  </w:style>
  <w:style w:type="character" w:styleId="FollowedHyperlink">
    <w:name w:val="FollowedHyperlink"/>
    <w:basedOn w:val="DefaultParagraphFont"/>
    <w:uiPriority w:val="99"/>
    <w:semiHidden/>
    <w:unhideWhenUsed/>
    <w:rsid w:val="00F9732C"/>
    <w:rPr>
      <w:color w:val="954F72" w:themeColor="followedHyperlink"/>
      <w:u w:val="single"/>
    </w:rPr>
  </w:style>
  <w:style w:type="character" w:customStyle="1" w:styleId="cf01">
    <w:name w:val="cf01"/>
    <w:basedOn w:val="DefaultParagraphFont"/>
    <w:rsid w:val="00993C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 w:id="15628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gordon@lancaster.ac.uk" TargetMode="External"/><Relationship Id="rId18" Type="http://schemas.openxmlformats.org/officeDocument/2006/relationships/hyperlink" Target="https://www.lancaster.ac.uk/research/research-services/research-integrity-ethics--governance/research-misconduct/" TargetMode="External"/><Relationship Id="rId26" Type="http://schemas.openxmlformats.org/officeDocument/2006/relationships/hyperlink" Target="https://www.lancaster.ac.uk/media/lancaster-university/content-assets/documents/strategic-planning--governance/publication-scheme/5-our-policies-and-procedures/Ethical-Giving-to-Lancaster.pdf" TargetMode="External"/><Relationship Id="rId39" Type="http://schemas.openxmlformats.org/officeDocument/2006/relationships/hyperlink" Target="https://portal.lancaster.ac.uk/intranet/services/policies-and-procedures/anti-bribery-and-corruption-policy/anti-bribery-and-corruption-policy/" TargetMode="External"/><Relationship Id="rId21" Type="http://schemas.openxmlformats.org/officeDocument/2006/relationships/hyperlink" Target="https://www.lancaster.ac.uk/research/research-services/research-grant-lifecycle/proposal-development/" TargetMode="External"/><Relationship Id="rId34" Type="http://schemas.openxmlformats.org/officeDocument/2006/relationships/hyperlink" Target="https://www.lancaster.ac.uk/media/lancaster-university/content-assets/documents/strategic-planning--governance/publication-scheme/5-our-policies-and-procedures/Code-of-Practice-Freedom-of-Speech.pdf" TargetMode="External"/><Relationship Id="rId42" Type="http://schemas.openxmlformats.org/officeDocument/2006/relationships/hyperlink" Target="https://www.lancaster.ac.uk/edi/"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yperlink" Target="https://www.lancaster.ac.uk/media/lancaster-university/content-assets/documents/strategic-planning--governance/publication-scheme/5-our-policies-and-procedures/Raising-Serious-Concerns-and-Disclosing-Public-Interest-Matters-Whistleblowing.pdf"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ncaster.ac.uk/media/lancaster-university/content-assets/documents/res/research-governance--ethics/Ethics-code-of-practice_July2021.pdf" TargetMode="External"/><Relationship Id="rId29" Type="http://schemas.openxmlformats.org/officeDocument/2006/relationships/hyperlink" Target="https://www.lancaster.ac.uk/research/research-services/trusted-research-and-innovation/" TargetMode="External"/><Relationship Id="rId11" Type="http://schemas.microsoft.com/office/2016/09/relationships/commentsIds" Target="commentsIds.xml"/><Relationship Id="rId24" Type="http://schemas.openxmlformats.org/officeDocument/2006/relationships/hyperlink" Target="https://www.lancaster.ac.uk/research/research-services/clinical-research--trials/" TargetMode="External"/><Relationship Id="rId32" Type="http://schemas.openxmlformats.org/officeDocument/2006/relationships/hyperlink" Target="https://www.lancaster.ac.uk/media/lancaster-university/content-assets/documents/strategic-planning--governance/publication-scheme/5-our-policies-and-procedures/Raising-Serious-Concerns-and-Disclosing-Public-Interest-Matters-Whistleblowing.pdf" TargetMode="External"/><Relationship Id="rId37" Type="http://schemas.openxmlformats.org/officeDocument/2006/relationships/hyperlink" Target="https://www.lancaster.ac.uk/bullying-harassment-and-sexual-misconduct-policy/" TargetMode="External"/><Relationship Id="rId40" Type="http://schemas.openxmlformats.org/officeDocument/2006/relationships/hyperlink" Target="https://livelancsac.sharepoint.com/:b:/s/Grp-HRWebdocuments/Ef86ptPOpJRHp6LbMjXis4gBOvUbUSdlVJFb1Hfhjesv0A?e=7iEpH1" TargetMode="External"/><Relationship Id="rId45" Type="http://schemas.openxmlformats.org/officeDocument/2006/relationships/hyperlink" Target="https://www.lancaster.ac.uk/research/research-services/research-integrity-ethics--governance/data-protection/" TargetMode="External"/><Relationship Id="rId53" Type="http://schemas.openxmlformats.org/officeDocument/2006/relationships/hyperlink" Target="https://www.lancaster.ac.uk/research/research-services/research-integrity-ethics--governance/research-misconduct/" TargetMode="External"/><Relationship Id="rId58" Type="http://schemas.openxmlformats.org/officeDocument/2006/relationships/hyperlink" Target="https://www.lancaster.ac.uk/bullying-harassment-and-sexual-misconduct-policy/" TargetMode="External"/><Relationship Id="rId5" Type="http://schemas.openxmlformats.org/officeDocument/2006/relationships/webSettings" Target="webSettings.xml"/><Relationship Id="rId61" Type="http://schemas.openxmlformats.org/officeDocument/2006/relationships/hyperlink" Target="https://livelancsac.sharepoint.com/:b:/s/Grp-HRWebdocuments/Ef86ptPOpJRHp6LbMjXis4gBOvUbUSdlVJFb1Hfhjesv0A?e=7iEpH1" TargetMode="External"/><Relationship Id="rId19" Type="http://schemas.openxmlformats.org/officeDocument/2006/relationships/hyperlink" Target="https://www.lancaster.ac.uk/research/research-services/pre-award-development/costing-and-pricing/" TargetMode="External"/><Relationship Id="rId14" Type="http://schemas.openxmlformats.org/officeDocument/2006/relationships/hyperlink" Target="mailto:h.brace@lancaster.ac.uk" TargetMode="External"/><Relationship Id="rId22" Type="http://schemas.openxmlformats.org/officeDocument/2006/relationships/hyperlink" Target="https://www.lancaster.ac.uk/research/research-services/research-integrity-ethics--governance/research-ethics/reams-web-guidance-/" TargetMode="External"/><Relationship Id="rId27" Type="http://schemas.openxmlformats.org/officeDocument/2006/relationships/hyperlink" Target="https://www.lancaster.ac.uk/research/research-services/research-integrity-ethics--governance/awerb/" TargetMode="External"/><Relationship Id="rId30" Type="http://schemas.openxmlformats.org/officeDocument/2006/relationships/hyperlink" Target="https://www.cbd.int/abs/" TargetMode="External"/><Relationship Id="rId35" Type="http://schemas.openxmlformats.org/officeDocument/2006/relationships/hyperlink" Target="https://portal.lancaster.ac.uk/intranet/services/people/health-and-safety/health-and-safety-policy/" TargetMode="External"/><Relationship Id="rId43" Type="http://schemas.openxmlformats.org/officeDocument/2006/relationships/hyperlink" Target="https://www.lancaster.ac.uk/sustainability/" TargetMode="External"/><Relationship Id="rId48" Type="http://schemas.openxmlformats.org/officeDocument/2006/relationships/header" Target="header2.xml"/><Relationship Id="rId56" Type="http://schemas.openxmlformats.org/officeDocument/2006/relationships/hyperlink" Target="https://www.lancaster.ac.uk/media/lancaster-university/content-assets/documents/strategic-planning--governance/publication-scheme/5-our-policies-and-procedures/Code-of-Practice-Freedom-of-Speech.pdf" TargetMode="External"/><Relationship Id="rId64" Type="http://schemas.openxmlformats.org/officeDocument/2006/relationships/theme" Target="theme/theme1.xml"/><Relationship Id="rId8" Type="http://schemas.openxmlformats.org/officeDocument/2006/relationships/hyperlink" Target="mailto:louise.heathwaite@lancaster.ac.uk" TargetMode="External"/><Relationship Id="rId51" Type="http://schemas.openxmlformats.org/officeDocument/2006/relationships/header" Target="header3.xm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lancaster.ac.uk/research/research-services/" TargetMode="External"/><Relationship Id="rId25" Type="http://schemas.openxmlformats.org/officeDocument/2006/relationships/hyperlink" Target="https://www.lancaster.ac.uk/research/research-services/pre-award-development/pre-award-contacts/" TargetMode="External"/><Relationship Id="rId33" Type="http://schemas.openxmlformats.org/officeDocument/2006/relationships/hyperlink" Target="https://www.lancaster.ac.uk/research/research-services/research-integrity-ethics--governance/research-misconduct/" TargetMode="External"/><Relationship Id="rId38" Type="http://schemas.openxmlformats.org/officeDocument/2006/relationships/hyperlink" Target="https://portal.lancaster.ac.uk/intranet/services/money/financial-terms-information--guidance/financial-regulations/" TargetMode="External"/><Relationship Id="rId46" Type="http://schemas.openxmlformats.org/officeDocument/2006/relationships/hyperlink" Target="https://www.lancaster.ac.uk/strategic-planning-and-governance/publication-scheme/policies-and-procedures/" TargetMode="External"/><Relationship Id="rId59" Type="http://schemas.openxmlformats.org/officeDocument/2006/relationships/hyperlink" Target="https://portal.lancaster.ac.uk/intranet/services/money/financial-terms-information--guidance/financial-regulations/" TargetMode="External"/><Relationship Id="rId20" Type="http://schemas.openxmlformats.org/officeDocument/2006/relationships/hyperlink" Target="https://www.lancaster.ac.uk/research/research-services/research-grant-lifecycle/proposal-development/" TargetMode="External"/><Relationship Id="rId41" Type="http://schemas.openxmlformats.org/officeDocument/2006/relationships/hyperlink" Target="https://www.lancaster.ac.uk/research/research-enterprise-services/ip-support/" TargetMode="External"/><Relationship Id="rId54" Type="http://schemas.openxmlformats.org/officeDocument/2006/relationships/hyperlink" Target="https://ukrio.org/publications/misconduct-investigation-procedur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iversitiesuk.ac.uk/sites/default/files/field/downloads/2021-08/Updated%20FINAL-the-concordat-to-support-research-integrity.pdf" TargetMode="External"/><Relationship Id="rId23" Type="http://schemas.openxmlformats.org/officeDocument/2006/relationships/hyperlink" Target="https://www.lancaster.ac.uk/media/lancaster-university/content-assets/documents/research/research-services/ethics/ProceduresforResearchEthicsApproval_june2016.pdf" TargetMode="External"/><Relationship Id="rId28" Type="http://schemas.openxmlformats.org/officeDocument/2006/relationships/hyperlink" Target="https://www.lancaster.ac.uk/research/research-services/trusted-research-and-innovation/export-controls/" TargetMode="External"/><Relationship Id="rId36" Type="http://schemas.openxmlformats.org/officeDocument/2006/relationships/hyperlink" Target="https://www.lancaster.ac.uk/research/research-services/research-integrity-ethics--governance/safeguarding-for-research-and-innovation/" TargetMode="External"/><Relationship Id="rId49" Type="http://schemas.openxmlformats.org/officeDocument/2006/relationships/footer" Target="footer1.xml"/><Relationship Id="rId57" Type="http://schemas.openxmlformats.org/officeDocument/2006/relationships/hyperlink" Target="https://www.lancaster.ac.uk/research/research-services/research-integrity-ethics--governance/safeguarding-for-research-and-innovation/" TargetMode="External"/><Relationship Id="rId10" Type="http://schemas.microsoft.com/office/2011/relationships/commentsExtended" Target="commentsExtended.xml"/><Relationship Id="rId31" Type="http://schemas.openxmlformats.org/officeDocument/2006/relationships/hyperlink" Target="https://www.lancaster.ac.uk/research/research-services/research-integrity-ethics--governance/nagoya-protocol/" TargetMode="External"/><Relationship Id="rId44" Type="http://schemas.openxmlformats.org/officeDocument/2006/relationships/hyperlink" Target="https://www.lancaster.ac.uk/media/lancaster-university/content-assets/documents/strategic-planning--governance/publication-scheme/5-our-policies-and-procedures/Research-Data-Policy.pdf" TargetMode="External"/><Relationship Id="rId52" Type="http://schemas.openxmlformats.org/officeDocument/2006/relationships/footer" Target="footer3.xml"/><Relationship Id="rId60" Type="http://schemas.openxmlformats.org/officeDocument/2006/relationships/hyperlink" Target="https://portal.lancaster.ac.uk/intranet/services/policies-and-procedures/anti-bribery-and-corruption-policy/anti-bribery-and-corruption-policy/" TargetMode="External"/><Relationship Id="rId4" Type="http://schemas.openxmlformats.org/officeDocument/2006/relationships/settings" Target="settings.xml"/><Relationship Id="rId9" Type="http://schemas.openxmlformats.org/officeDocument/2006/relationships/comments" Target="comment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Props1.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4592</Words>
  <Characters>26180</Characters>
  <Application>Microsoft Office Word</Application>
  <DocSecurity>4</DocSecurity>
  <Lines>218</Lines>
  <Paragraphs>61</Paragraphs>
  <ScaleCrop>false</ScaleCrop>
  <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Wake</dc:creator>
  <cp:keywords/>
  <dc:description/>
  <cp:lastModifiedBy>Brace, Helen</cp:lastModifiedBy>
  <cp:revision>2</cp:revision>
  <dcterms:created xsi:type="dcterms:W3CDTF">2024-09-18T09:03:00Z</dcterms:created>
  <dcterms:modified xsi:type="dcterms:W3CDTF">2024-09-18T09:03:00Z</dcterms:modified>
</cp:coreProperties>
</file>