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BE75" w14:textId="77777777" w:rsidR="0019720B" w:rsidRDefault="0019720B" w:rsidP="0019720B">
      <w:pPr>
        <w:pStyle w:val="Heading1"/>
      </w:pPr>
      <w:r w:rsidRPr="00CB11D5">
        <w:t>Acceptance of Funding for External Research and Enterprise Activities (reputational or ethical)</w:t>
      </w:r>
    </w:p>
    <w:p w14:paraId="67DA5575" w14:textId="77777777" w:rsidR="0019720B" w:rsidRDefault="0019720B" w:rsidP="0019720B">
      <w:pPr>
        <w:spacing w:before="41"/>
        <w:ind w:left="100"/>
        <w:rPr>
          <w:b/>
        </w:rPr>
      </w:pPr>
    </w:p>
    <w:p w14:paraId="3E0D6A3B" w14:textId="77777777" w:rsidR="0019720B" w:rsidRDefault="0019720B" w:rsidP="0019720B">
      <w:pPr>
        <w:spacing w:before="41"/>
        <w:ind w:left="100"/>
        <w:rPr>
          <w:b/>
        </w:rPr>
      </w:pPr>
      <w:r>
        <w:rPr>
          <w:b/>
        </w:rPr>
        <w:t>Document</w:t>
      </w:r>
      <w:r>
        <w:rPr>
          <w:b/>
          <w:spacing w:val="-4"/>
        </w:rPr>
        <w:t xml:space="preserve"> </w:t>
      </w:r>
      <w:r>
        <w:rPr>
          <w:b/>
        </w:rPr>
        <w:t>Details</w:t>
      </w:r>
    </w:p>
    <w:p w14:paraId="23B13586" w14:textId="77777777" w:rsidR="0019720B" w:rsidRDefault="0019720B" w:rsidP="0019720B">
      <w:pPr>
        <w:pStyle w:val="BodyText"/>
        <w:spacing w:before="9"/>
        <w:rPr>
          <w:b/>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5955"/>
      </w:tblGrid>
      <w:tr w:rsidR="0019720B" w14:paraId="6655520C" w14:textId="77777777" w:rsidTr="00A71A91">
        <w:trPr>
          <w:trHeight w:val="537"/>
        </w:trPr>
        <w:tc>
          <w:tcPr>
            <w:tcW w:w="2830" w:type="dxa"/>
          </w:tcPr>
          <w:p w14:paraId="605F1238" w14:textId="77777777" w:rsidR="0019720B" w:rsidRPr="00CB4A54" w:rsidRDefault="0019720B" w:rsidP="00A71A91">
            <w:pPr>
              <w:pStyle w:val="TableParagraph"/>
            </w:pPr>
            <w:r w:rsidRPr="00CB4A54">
              <w:t>Document</w:t>
            </w:r>
            <w:r w:rsidRPr="00CB4A54">
              <w:rPr>
                <w:spacing w:val="-4"/>
              </w:rPr>
              <w:t xml:space="preserve"> </w:t>
            </w:r>
            <w:r w:rsidRPr="00CB4A54">
              <w:t>Reference</w:t>
            </w:r>
          </w:p>
        </w:tc>
        <w:tc>
          <w:tcPr>
            <w:tcW w:w="5955" w:type="dxa"/>
          </w:tcPr>
          <w:p w14:paraId="3A4AE58E" w14:textId="77777777" w:rsidR="0019720B" w:rsidRPr="003E3077" w:rsidRDefault="0019720B" w:rsidP="00A71A91">
            <w:pPr>
              <w:pStyle w:val="TableParagraph"/>
              <w:spacing w:before="1"/>
              <w:rPr>
                <w:b/>
              </w:rPr>
            </w:pPr>
            <w:r w:rsidRPr="003E3077">
              <w:rPr>
                <w:b/>
                <w:bCs/>
              </w:rPr>
              <w:t>Acceptance of Funding for External Research and Enterprise Activities (reputational or ethical)</w:t>
            </w:r>
          </w:p>
        </w:tc>
      </w:tr>
      <w:tr w:rsidR="0019720B" w14:paraId="79966EB6" w14:textId="77777777" w:rsidTr="00A71A91">
        <w:trPr>
          <w:trHeight w:val="508"/>
        </w:trPr>
        <w:tc>
          <w:tcPr>
            <w:tcW w:w="2830" w:type="dxa"/>
          </w:tcPr>
          <w:p w14:paraId="723991EA" w14:textId="77777777" w:rsidR="0019720B" w:rsidRPr="00CB4A54" w:rsidRDefault="0019720B" w:rsidP="00A71A91">
            <w:pPr>
              <w:pStyle w:val="TableParagraph"/>
            </w:pPr>
            <w:r w:rsidRPr="00CB4A54">
              <w:t>Document</w:t>
            </w:r>
            <w:r w:rsidRPr="00CB4A54">
              <w:rPr>
                <w:spacing w:val="-2"/>
              </w:rPr>
              <w:t xml:space="preserve"> </w:t>
            </w:r>
            <w:r w:rsidRPr="00CB4A54">
              <w:t>status</w:t>
            </w:r>
          </w:p>
        </w:tc>
        <w:tc>
          <w:tcPr>
            <w:tcW w:w="5955" w:type="dxa"/>
          </w:tcPr>
          <w:p w14:paraId="259FAC01" w14:textId="1BABB64A" w:rsidR="0019720B" w:rsidRPr="00CB4A54" w:rsidRDefault="001163B6" w:rsidP="00A71A91">
            <w:pPr>
              <w:pStyle w:val="TableParagraph"/>
              <w:rPr>
                <w:b/>
              </w:rPr>
            </w:pPr>
            <w:r>
              <w:rPr>
                <w:b/>
              </w:rPr>
              <w:t>Current</w:t>
            </w:r>
          </w:p>
        </w:tc>
      </w:tr>
      <w:tr w:rsidR="0019720B" w14:paraId="445FA3DC" w14:textId="77777777" w:rsidTr="00A71A91">
        <w:trPr>
          <w:trHeight w:val="508"/>
        </w:trPr>
        <w:tc>
          <w:tcPr>
            <w:tcW w:w="2830" w:type="dxa"/>
          </w:tcPr>
          <w:p w14:paraId="1B223FD8" w14:textId="77777777" w:rsidR="0019720B" w:rsidRPr="00CB4A54" w:rsidRDefault="0019720B" w:rsidP="00A71A91">
            <w:pPr>
              <w:pStyle w:val="TableParagraph"/>
            </w:pPr>
            <w:r w:rsidRPr="00CB4A54">
              <w:t>Document</w:t>
            </w:r>
            <w:r w:rsidRPr="00CB4A54">
              <w:rPr>
                <w:spacing w:val="-2"/>
              </w:rPr>
              <w:t xml:space="preserve"> </w:t>
            </w:r>
            <w:r w:rsidRPr="00CB4A54">
              <w:t>owner</w:t>
            </w:r>
          </w:p>
        </w:tc>
        <w:tc>
          <w:tcPr>
            <w:tcW w:w="5955" w:type="dxa"/>
          </w:tcPr>
          <w:p w14:paraId="0BF80189" w14:textId="77777777" w:rsidR="0019720B" w:rsidRPr="00CB4A54" w:rsidRDefault="0019720B" w:rsidP="00A71A91">
            <w:pPr>
              <w:pStyle w:val="TableParagraph"/>
            </w:pPr>
            <w:r w:rsidRPr="00CB4A54">
              <w:t>Dion Williams</w:t>
            </w:r>
          </w:p>
        </w:tc>
      </w:tr>
      <w:tr w:rsidR="0019720B" w14:paraId="4A1DFC42" w14:textId="77777777" w:rsidTr="00A71A91">
        <w:trPr>
          <w:trHeight w:val="508"/>
        </w:trPr>
        <w:tc>
          <w:tcPr>
            <w:tcW w:w="2830" w:type="dxa"/>
          </w:tcPr>
          <w:p w14:paraId="241E0684" w14:textId="77777777" w:rsidR="0019720B" w:rsidRPr="00CB4A54" w:rsidRDefault="0019720B" w:rsidP="00A71A91">
            <w:pPr>
              <w:pStyle w:val="TableParagraph"/>
            </w:pPr>
            <w:r w:rsidRPr="00CB4A54">
              <w:t>Review</w:t>
            </w:r>
            <w:r w:rsidRPr="00CB4A54">
              <w:rPr>
                <w:spacing w:val="-1"/>
              </w:rPr>
              <w:t xml:space="preserve"> </w:t>
            </w:r>
            <w:r w:rsidRPr="00CB4A54">
              <w:t>period</w:t>
            </w:r>
          </w:p>
        </w:tc>
        <w:tc>
          <w:tcPr>
            <w:tcW w:w="5955" w:type="dxa"/>
          </w:tcPr>
          <w:p w14:paraId="2EECB665" w14:textId="77777777" w:rsidR="0019720B" w:rsidRPr="00CB4A54" w:rsidRDefault="0019720B" w:rsidP="00A71A91">
            <w:pPr>
              <w:pStyle w:val="TableParagraph"/>
            </w:pPr>
            <w:r w:rsidRPr="00CB4A54">
              <w:t>2 years</w:t>
            </w:r>
          </w:p>
        </w:tc>
      </w:tr>
      <w:tr w:rsidR="0019720B" w14:paraId="57276E6A" w14:textId="77777777" w:rsidTr="00A71A91">
        <w:trPr>
          <w:trHeight w:val="510"/>
        </w:trPr>
        <w:tc>
          <w:tcPr>
            <w:tcW w:w="2830" w:type="dxa"/>
          </w:tcPr>
          <w:p w14:paraId="7B635953" w14:textId="77777777" w:rsidR="0019720B" w:rsidRPr="00CB4A54" w:rsidRDefault="0019720B" w:rsidP="00A71A91">
            <w:pPr>
              <w:pStyle w:val="TableParagraph"/>
              <w:spacing w:before="1" w:line="240" w:lineRule="auto"/>
            </w:pPr>
            <w:r w:rsidRPr="00CB4A54">
              <w:t>Date</w:t>
            </w:r>
            <w:r w:rsidRPr="00CB4A54">
              <w:rPr>
                <w:spacing w:val="-2"/>
              </w:rPr>
              <w:t xml:space="preserve"> </w:t>
            </w:r>
            <w:r w:rsidRPr="00CB4A54">
              <w:t>of</w:t>
            </w:r>
            <w:r w:rsidRPr="00CB4A54">
              <w:rPr>
                <w:spacing w:val="-1"/>
              </w:rPr>
              <w:t xml:space="preserve"> </w:t>
            </w:r>
            <w:r w:rsidRPr="00CB4A54">
              <w:t>approval</w:t>
            </w:r>
          </w:p>
        </w:tc>
        <w:tc>
          <w:tcPr>
            <w:tcW w:w="5955" w:type="dxa"/>
          </w:tcPr>
          <w:p w14:paraId="2D66ADD4" w14:textId="0EEE5CA7" w:rsidR="0019720B" w:rsidRPr="00CB4A54" w:rsidRDefault="001163B6" w:rsidP="00A71A91">
            <w:pPr>
              <w:pStyle w:val="TableParagraph"/>
              <w:spacing w:before="1" w:line="240" w:lineRule="auto"/>
            </w:pPr>
            <w:r>
              <w:t>Research Committee</w:t>
            </w:r>
            <w:r w:rsidR="00BF70AD">
              <w:t xml:space="preserve"> -</w:t>
            </w:r>
            <w:r>
              <w:t xml:space="preserve"> </w:t>
            </w:r>
            <w:r w:rsidR="00BF70AD">
              <w:t>December</w:t>
            </w:r>
            <w:r>
              <w:t xml:space="preserve"> 2022</w:t>
            </w:r>
          </w:p>
        </w:tc>
      </w:tr>
      <w:tr w:rsidR="0019720B" w14:paraId="4D873154" w14:textId="77777777" w:rsidTr="00A71A91">
        <w:trPr>
          <w:trHeight w:val="508"/>
        </w:trPr>
        <w:tc>
          <w:tcPr>
            <w:tcW w:w="2830" w:type="dxa"/>
          </w:tcPr>
          <w:p w14:paraId="1EC3AE87" w14:textId="77777777" w:rsidR="0019720B" w:rsidRPr="00CB4A54" w:rsidRDefault="0019720B" w:rsidP="00A71A91">
            <w:pPr>
              <w:pStyle w:val="TableParagraph"/>
            </w:pPr>
            <w:r w:rsidRPr="00CB4A54">
              <w:t>Date</w:t>
            </w:r>
            <w:r w:rsidRPr="00CB4A54">
              <w:rPr>
                <w:spacing w:val="-3"/>
              </w:rPr>
              <w:t xml:space="preserve"> </w:t>
            </w:r>
            <w:r w:rsidRPr="00CB4A54">
              <w:t>of</w:t>
            </w:r>
            <w:r w:rsidRPr="00CB4A54">
              <w:rPr>
                <w:spacing w:val="-3"/>
              </w:rPr>
              <w:t xml:space="preserve"> </w:t>
            </w:r>
            <w:r w:rsidRPr="00CB4A54">
              <w:t>next</w:t>
            </w:r>
            <w:r w:rsidRPr="00CB4A54">
              <w:rPr>
                <w:spacing w:val="-2"/>
              </w:rPr>
              <w:t xml:space="preserve"> </w:t>
            </w:r>
            <w:r w:rsidRPr="00CB4A54">
              <w:t>review</w:t>
            </w:r>
          </w:p>
        </w:tc>
        <w:tc>
          <w:tcPr>
            <w:tcW w:w="5955" w:type="dxa"/>
          </w:tcPr>
          <w:p w14:paraId="540B3899" w14:textId="683E8765" w:rsidR="0019720B" w:rsidRPr="00CB4A54" w:rsidRDefault="001163B6" w:rsidP="00A71A91">
            <w:pPr>
              <w:pStyle w:val="TableParagraph"/>
            </w:pPr>
            <w:r>
              <w:t>November 2024</w:t>
            </w:r>
          </w:p>
        </w:tc>
      </w:tr>
      <w:tr w:rsidR="0019720B" w14:paraId="74A0192B" w14:textId="77777777" w:rsidTr="00A71A91">
        <w:trPr>
          <w:trHeight w:val="508"/>
        </w:trPr>
        <w:tc>
          <w:tcPr>
            <w:tcW w:w="2830" w:type="dxa"/>
          </w:tcPr>
          <w:p w14:paraId="567C44FF" w14:textId="77777777" w:rsidR="0019720B" w:rsidRPr="00CB4A54" w:rsidRDefault="0019720B" w:rsidP="00A71A91">
            <w:pPr>
              <w:pStyle w:val="TableParagraph"/>
            </w:pPr>
            <w:r w:rsidRPr="00CB4A54">
              <w:t>Version</w:t>
            </w:r>
            <w:r w:rsidRPr="00CB4A54">
              <w:rPr>
                <w:spacing w:val="-4"/>
              </w:rPr>
              <w:t xml:space="preserve"> </w:t>
            </w:r>
            <w:r w:rsidRPr="00CB4A54">
              <w:t>number</w:t>
            </w:r>
          </w:p>
        </w:tc>
        <w:tc>
          <w:tcPr>
            <w:tcW w:w="5955" w:type="dxa"/>
          </w:tcPr>
          <w:p w14:paraId="786FD089" w14:textId="77777777" w:rsidR="0019720B" w:rsidRPr="00CB4A54" w:rsidRDefault="0019720B" w:rsidP="00A71A91">
            <w:pPr>
              <w:pStyle w:val="TableParagraph"/>
            </w:pPr>
            <w:r w:rsidRPr="00CB4A54">
              <w:t>1</w:t>
            </w:r>
          </w:p>
        </w:tc>
      </w:tr>
    </w:tbl>
    <w:p w14:paraId="3CF27B23" w14:textId="77777777" w:rsidR="0019720B" w:rsidRDefault="0019720B" w:rsidP="0019720B">
      <w:pPr>
        <w:pStyle w:val="BodyText"/>
        <w:rPr>
          <w:b/>
        </w:rPr>
      </w:pPr>
    </w:p>
    <w:p w14:paraId="3D6AB293" w14:textId="77777777" w:rsidR="0019720B" w:rsidRDefault="0019720B" w:rsidP="0019720B">
      <w:pPr>
        <w:pStyle w:val="BodyText"/>
        <w:spacing w:before="10"/>
        <w:rPr>
          <w:b/>
          <w:sz w:val="19"/>
        </w:rPr>
      </w:pPr>
    </w:p>
    <w:p w14:paraId="41518878" w14:textId="77777777" w:rsidR="0019720B" w:rsidRDefault="0019720B" w:rsidP="0019720B">
      <w:pPr>
        <w:spacing w:before="1"/>
        <w:ind w:left="100"/>
        <w:rPr>
          <w:b/>
        </w:rPr>
      </w:pPr>
      <w:r>
        <w:rPr>
          <w:b/>
        </w:rPr>
        <w:t>Version</w:t>
      </w:r>
      <w:r>
        <w:rPr>
          <w:b/>
          <w:spacing w:val="-3"/>
        </w:rPr>
        <w:t xml:space="preserve"> </w:t>
      </w:r>
      <w:r>
        <w:rPr>
          <w:b/>
        </w:rPr>
        <w:t>control</w:t>
      </w:r>
    </w:p>
    <w:p w14:paraId="6FED3FFA" w14:textId="77777777" w:rsidR="0019720B" w:rsidRDefault="0019720B" w:rsidP="0019720B">
      <w:pPr>
        <w:pStyle w:val="BodyText"/>
        <w:spacing w:before="8" w:after="1"/>
        <w:rPr>
          <w:b/>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1417"/>
        <w:gridCol w:w="5924"/>
      </w:tblGrid>
      <w:tr w:rsidR="0019720B" w14:paraId="3168A57A" w14:textId="77777777" w:rsidTr="00A71A91">
        <w:trPr>
          <w:trHeight w:val="537"/>
        </w:trPr>
        <w:tc>
          <w:tcPr>
            <w:tcW w:w="1445" w:type="dxa"/>
          </w:tcPr>
          <w:p w14:paraId="7BBC5898" w14:textId="77777777" w:rsidR="0019720B" w:rsidRDefault="0019720B" w:rsidP="00A71A91">
            <w:pPr>
              <w:pStyle w:val="TableParagraph"/>
              <w:rPr>
                <w:b/>
              </w:rPr>
            </w:pPr>
            <w:r>
              <w:rPr>
                <w:b/>
              </w:rPr>
              <w:t>Version</w:t>
            </w:r>
          </w:p>
        </w:tc>
        <w:tc>
          <w:tcPr>
            <w:tcW w:w="1417" w:type="dxa"/>
          </w:tcPr>
          <w:p w14:paraId="039FCC50" w14:textId="77777777" w:rsidR="0019720B" w:rsidRDefault="0019720B" w:rsidP="00A71A91">
            <w:pPr>
              <w:pStyle w:val="TableParagraph"/>
              <w:rPr>
                <w:b/>
              </w:rPr>
            </w:pPr>
            <w:r>
              <w:rPr>
                <w:b/>
              </w:rPr>
              <w:t>Date</w:t>
            </w:r>
          </w:p>
        </w:tc>
        <w:tc>
          <w:tcPr>
            <w:tcW w:w="5924" w:type="dxa"/>
          </w:tcPr>
          <w:p w14:paraId="246DCDBD" w14:textId="77777777" w:rsidR="0019720B" w:rsidRDefault="0019720B" w:rsidP="00A71A91">
            <w:pPr>
              <w:pStyle w:val="TableParagraph"/>
              <w:ind w:left="215"/>
            </w:pPr>
            <w:r>
              <w:t>Description</w:t>
            </w:r>
            <w:r>
              <w:rPr>
                <w:spacing w:val="-3"/>
              </w:rPr>
              <w:t xml:space="preserve"> </w:t>
            </w:r>
            <w:r>
              <w:t>of changes and</w:t>
            </w:r>
            <w:r>
              <w:rPr>
                <w:spacing w:val="-4"/>
              </w:rPr>
              <w:t xml:space="preserve"> </w:t>
            </w:r>
            <w:r>
              <w:t>name</w:t>
            </w:r>
            <w:r>
              <w:rPr>
                <w:spacing w:val="-1"/>
              </w:rPr>
              <w:t xml:space="preserve"> </w:t>
            </w:r>
            <w:r>
              <w:t>and</w:t>
            </w:r>
            <w:r>
              <w:rPr>
                <w:spacing w:val="-1"/>
              </w:rPr>
              <w:t xml:space="preserve"> </w:t>
            </w:r>
            <w:r>
              <w:t>job</w:t>
            </w:r>
            <w:r>
              <w:rPr>
                <w:spacing w:val="-3"/>
              </w:rPr>
              <w:t xml:space="preserve"> </w:t>
            </w:r>
            <w:r>
              <w:t>title</w:t>
            </w:r>
            <w:r>
              <w:rPr>
                <w:spacing w:val="-2"/>
              </w:rPr>
              <w:t xml:space="preserve"> </w:t>
            </w:r>
            <w:r>
              <w:t>of</w:t>
            </w:r>
            <w:r>
              <w:rPr>
                <w:spacing w:val="-2"/>
              </w:rPr>
              <w:t xml:space="preserve"> </w:t>
            </w:r>
            <w:r>
              <w:t>person</w:t>
            </w:r>
          </w:p>
          <w:p w14:paraId="237A99BD" w14:textId="77777777" w:rsidR="0019720B" w:rsidRDefault="0019720B" w:rsidP="00A71A91">
            <w:pPr>
              <w:pStyle w:val="TableParagraph"/>
              <w:spacing w:line="249" w:lineRule="exact"/>
              <w:ind w:left="215"/>
            </w:pPr>
            <w:r>
              <w:t>responsible</w:t>
            </w:r>
            <w:r>
              <w:rPr>
                <w:spacing w:val="-2"/>
              </w:rPr>
              <w:t xml:space="preserve"> </w:t>
            </w:r>
            <w:r>
              <w:t>for</w:t>
            </w:r>
            <w:r>
              <w:rPr>
                <w:spacing w:val="-4"/>
              </w:rPr>
              <w:t xml:space="preserve"> </w:t>
            </w:r>
            <w:r>
              <w:t>making</w:t>
            </w:r>
            <w:r>
              <w:rPr>
                <w:spacing w:val="-2"/>
              </w:rPr>
              <w:t xml:space="preserve"> </w:t>
            </w:r>
            <w:r>
              <w:t>changes</w:t>
            </w:r>
          </w:p>
        </w:tc>
      </w:tr>
      <w:tr w:rsidR="0019720B" w14:paraId="5DBA2431" w14:textId="77777777" w:rsidTr="00A71A91">
        <w:trPr>
          <w:trHeight w:val="510"/>
        </w:trPr>
        <w:tc>
          <w:tcPr>
            <w:tcW w:w="1445" w:type="dxa"/>
          </w:tcPr>
          <w:p w14:paraId="16A10D8B" w14:textId="77777777" w:rsidR="0019720B" w:rsidRDefault="0019720B" w:rsidP="00A71A91">
            <w:pPr>
              <w:pStyle w:val="TableParagraph"/>
            </w:pPr>
          </w:p>
        </w:tc>
        <w:tc>
          <w:tcPr>
            <w:tcW w:w="1417" w:type="dxa"/>
          </w:tcPr>
          <w:p w14:paraId="3B914744" w14:textId="77777777" w:rsidR="0019720B" w:rsidRDefault="0019720B" w:rsidP="00A71A91">
            <w:pPr>
              <w:pStyle w:val="TableParagraph"/>
            </w:pPr>
          </w:p>
        </w:tc>
        <w:tc>
          <w:tcPr>
            <w:tcW w:w="5924" w:type="dxa"/>
          </w:tcPr>
          <w:p w14:paraId="4F67D744" w14:textId="77777777" w:rsidR="0019720B" w:rsidRDefault="0019720B" w:rsidP="00A71A91">
            <w:pPr>
              <w:pStyle w:val="TableParagraph"/>
            </w:pPr>
          </w:p>
        </w:tc>
      </w:tr>
    </w:tbl>
    <w:p w14:paraId="490B597F" w14:textId="77777777" w:rsidR="0019720B" w:rsidRDefault="0019720B" w:rsidP="0019720B">
      <w:pPr>
        <w:pStyle w:val="BodyText"/>
        <w:spacing w:before="11"/>
        <w:rPr>
          <w:b/>
          <w:sz w:val="23"/>
        </w:rPr>
      </w:pPr>
    </w:p>
    <w:p w14:paraId="537533FA" w14:textId="77777777" w:rsidR="0019720B" w:rsidRDefault="0019720B" w:rsidP="0019720B">
      <w:pPr>
        <w:spacing w:before="1"/>
        <w:ind w:left="100"/>
        <w:rPr>
          <w:b/>
        </w:rPr>
      </w:pPr>
      <w:r>
        <w:rPr>
          <w:b/>
        </w:rPr>
        <w:t>Referenced</w:t>
      </w:r>
      <w:r>
        <w:rPr>
          <w:b/>
          <w:spacing w:val="-3"/>
        </w:rPr>
        <w:t xml:space="preserve"> </w:t>
      </w:r>
      <w:r>
        <w:rPr>
          <w:b/>
        </w:rPr>
        <w:t>policies</w:t>
      </w:r>
      <w:r>
        <w:rPr>
          <w:b/>
          <w:spacing w:val="-2"/>
        </w:rPr>
        <w:t xml:space="preserve"> </w:t>
      </w:r>
      <w:r>
        <w:rPr>
          <w:b/>
        </w:rPr>
        <w:t>and</w:t>
      </w:r>
      <w:r>
        <w:rPr>
          <w:b/>
          <w:spacing w:val="-3"/>
        </w:rPr>
        <w:t xml:space="preserve"> </w:t>
      </w:r>
      <w:proofErr w:type="gramStart"/>
      <w:r>
        <w:rPr>
          <w:b/>
        </w:rPr>
        <w:t>documents</w:t>
      </w:r>
      <w:proofErr w:type="gramEnd"/>
    </w:p>
    <w:p w14:paraId="5257EBAA" w14:textId="77777777" w:rsidR="0019720B" w:rsidRDefault="0019720B" w:rsidP="0019720B">
      <w:pPr>
        <w:pStyle w:val="BodyText"/>
        <w:spacing w:before="5"/>
        <w:rPr>
          <w:b/>
          <w:sz w:val="19"/>
        </w:rPr>
      </w:pPr>
    </w:p>
    <w:p w14:paraId="11F8BD8A" w14:textId="77777777" w:rsidR="0019720B" w:rsidRPr="001C2C3F" w:rsidRDefault="00BF70AD" w:rsidP="0019720B">
      <w:pPr>
        <w:pStyle w:val="Heading1"/>
        <w:keepNext w:val="0"/>
        <w:keepLines w:val="0"/>
        <w:widowControl w:val="0"/>
        <w:numPr>
          <w:ilvl w:val="0"/>
          <w:numId w:val="2"/>
        </w:numPr>
        <w:autoSpaceDE w:val="0"/>
        <w:autoSpaceDN w:val="0"/>
        <w:spacing w:before="0"/>
        <w:rPr>
          <w:rFonts w:asciiTheme="minorHAnsi" w:hAnsiTheme="minorHAnsi" w:cstheme="minorHAnsi"/>
          <w:sz w:val="22"/>
          <w:szCs w:val="22"/>
        </w:rPr>
      </w:pPr>
      <w:hyperlink r:id="rId5" w:history="1">
        <w:r w:rsidR="0019720B" w:rsidRPr="00CB394F">
          <w:rPr>
            <w:rStyle w:val="Hyperlink"/>
            <w:rFonts w:asciiTheme="minorHAnsi" w:hAnsiTheme="minorHAnsi" w:cstheme="minorHAnsi"/>
            <w:sz w:val="22"/>
            <w:szCs w:val="22"/>
          </w:rPr>
          <w:t>Research Integrity and Ethics: Guide to related policies and procedures</w:t>
        </w:r>
      </w:hyperlink>
    </w:p>
    <w:p w14:paraId="0E8C1660" w14:textId="77777777" w:rsidR="0019720B" w:rsidRPr="00882D9F" w:rsidRDefault="00BF70AD" w:rsidP="0019720B">
      <w:pPr>
        <w:pStyle w:val="Heading1"/>
        <w:keepNext w:val="0"/>
        <w:keepLines w:val="0"/>
        <w:widowControl w:val="0"/>
        <w:numPr>
          <w:ilvl w:val="0"/>
          <w:numId w:val="2"/>
        </w:numPr>
        <w:autoSpaceDE w:val="0"/>
        <w:autoSpaceDN w:val="0"/>
        <w:spacing w:before="0"/>
        <w:rPr>
          <w:rFonts w:asciiTheme="minorHAnsi" w:hAnsiTheme="minorHAnsi" w:cstheme="minorHAnsi"/>
          <w:sz w:val="22"/>
          <w:szCs w:val="22"/>
        </w:rPr>
      </w:pPr>
      <w:hyperlink r:id="rId6" w:anchor="page1" w:history="1">
        <w:r w:rsidR="0019720B" w:rsidRPr="00882D9F">
          <w:rPr>
            <w:rStyle w:val="Hyperlink"/>
            <w:rFonts w:asciiTheme="minorHAnsi" w:hAnsiTheme="minorHAnsi" w:cstheme="minorHAnsi"/>
            <w:sz w:val="22"/>
            <w:szCs w:val="22"/>
          </w:rPr>
          <w:t>Frascati Manual</w:t>
        </w:r>
      </w:hyperlink>
      <w:r w:rsidR="0019720B" w:rsidRPr="00882D9F">
        <w:rPr>
          <w:rFonts w:asciiTheme="minorHAnsi" w:hAnsiTheme="minorHAnsi" w:cstheme="minorHAnsi"/>
          <w:sz w:val="22"/>
          <w:szCs w:val="22"/>
        </w:rPr>
        <w:t>,</w:t>
      </w:r>
    </w:p>
    <w:p w14:paraId="2F43200A" w14:textId="77777777" w:rsidR="0019720B" w:rsidRPr="00CB394F" w:rsidRDefault="0019720B" w:rsidP="0019720B">
      <w:pPr>
        <w:pStyle w:val="BodyText"/>
        <w:numPr>
          <w:ilvl w:val="0"/>
          <w:numId w:val="2"/>
        </w:numPr>
        <w:spacing w:before="56"/>
        <w:rPr>
          <w:rFonts w:asciiTheme="majorHAnsi" w:eastAsiaTheme="majorEastAsia" w:hAnsiTheme="majorHAnsi" w:cstheme="majorBidi"/>
          <w:color w:val="2E74B5" w:themeColor="accent1" w:themeShade="BF"/>
          <w:sz w:val="26"/>
          <w:szCs w:val="26"/>
        </w:rPr>
      </w:pPr>
      <w:r w:rsidRPr="00CB394F">
        <w:rPr>
          <w:rFonts w:asciiTheme="minorHAnsi" w:hAnsiTheme="minorHAnsi" w:cstheme="minorHAnsi"/>
        </w:rPr>
        <w:t xml:space="preserve">Ethical </w:t>
      </w:r>
      <w:proofErr w:type="gramStart"/>
      <w:r w:rsidRPr="00CB394F">
        <w:rPr>
          <w:rFonts w:asciiTheme="minorHAnsi" w:hAnsiTheme="minorHAnsi" w:cstheme="minorHAnsi"/>
        </w:rPr>
        <w:t>Giving;</w:t>
      </w:r>
      <w:proofErr w:type="gramEnd"/>
      <w:r w:rsidRPr="00CB394F">
        <w:rPr>
          <w:rFonts w:asciiTheme="minorHAnsi" w:hAnsiTheme="minorHAnsi" w:cstheme="minorHAnsi"/>
        </w:rPr>
        <w:t xml:space="preserve"> </w:t>
      </w:r>
    </w:p>
    <w:p w14:paraId="3D30FE31" w14:textId="77777777" w:rsidR="0019720B" w:rsidRPr="00CB394F" w:rsidRDefault="0019720B" w:rsidP="0019720B">
      <w:pPr>
        <w:pStyle w:val="BodyText"/>
        <w:numPr>
          <w:ilvl w:val="0"/>
          <w:numId w:val="2"/>
        </w:numPr>
        <w:spacing w:before="56"/>
        <w:rPr>
          <w:rFonts w:asciiTheme="majorHAnsi" w:eastAsiaTheme="majorEastAsia" w:hAnsiTheme="majorHAnsi" w:cstheme="majorBidi"/>
          <w:color w:val="2E74B5" w:themeColor="accent1" w:themeShade="BF"/>
          <w:sz w:val="26"/>
          <w:szCs w:val="26"/>
        </w:rPr>
      </w:pPr>
      <w:r w:rsidRPr="00CB394F">
        <w:rPr>
          <w:rFonts w:asciiTheme="minorHAnsi" w:hAnsiTheme="minorHAnsi" w:cstheme="minorHAnsi"/>
        </w:rPr>
        <w:t xml:space="preserve">Procurement and supplier </w:t>
      </w:r>
      <w:proofErr w:type="gramStart"/>
      <w:r w:rsidRPr="00CB394F">
        <w:rPr>
          <w:rFonts w:asciiTheme="minorHAnsi" w:hAnsiTheme="minorHAnsi" w:cstheme="minorHAnsi"/>
        </w:rPr>
        <w:t>relationships;</w:t>
      </w:r>
      <w:proofErr w:type="gramEnd"/>
      <w:r w:rsidRPr="00CB394F">
        <w:rPr>
          <w:rFonts w:asciiTheme="minorHAnsi" w:hAnsiTheme="minorHAnsi" w:cstheme="minorHAnsi"/>
        </w:rPr>
        <w:t xml:space="preserve"> </w:t>
      </w:r>
    </w:p>
    <w:p w14:paraId="1B94807C" w14:textId="77777777" w:rsidR="0019720B" w:rsidRPr="00CB394F" w:rsidRDefault="0019720B" w:rsidP="0019720B">
      <w:pPr>
        <w:pStyle w:val="BodyText"/>
        <w:numPr>
          <w:ilvl w:val="0"/>
          <w:numId w:val="2"/>
        </w:numPr>
        <w:spacing w:before="56"/>
        <w:rPr>
          <w:rFonts w:asciiTheme="majorHAnsi" w:eastAsiaTheme="majorEastAsia" w:hAnsiTheme="majorHAnsi" w:cstheme="majorBidi"/>
          <w:color w:val="2E74B5" w:themeColor="accent1" w:themeShade="BF"/>
          <w:sz w:val="26"/>
          <w:szCs w:val="26"/>
        </w:rPr>
      </w:pPr>
      <w:r w:rsidRPr="00CB394F">
        <w:rPr>
          <w:rFonts w:asciiTheme="minorHAnsi" w:hAnsiTheme="minorHAnsi" w:cstheme="minorHAnsi"/>
        </w:rPr>
        <w:t xml:space="preserve">Research ethics policy </w:t>
      </w:r>
    </w:p>
    <w:p w14:paraId="2B11D0FE" w14:textId="77777777" w:rsidR="0019720B" w:rsidRPr="00CB394F" w:rsidRDefault="0019720B" w:rsidP="0019720B">
      <w:pPr>
        <w:pStyle w:val="BodyText"/>
        <w:numPr>
          <w:ilvl w:val="0"/>
          <w:numId w:val="2"/>
        </w:numPr>
        <w:spacing w:before="56"/>
        <w:rPr>
          <w:rFonts w:asciiTheme="majorHAnsi" w:eastAsiaTheme="majorEastAsia" w:hAnsiTheme="majorHAnsi" w:cstheme="majorBidi"/>
          <w:color w:val="2E74B5" w:themeColor="accent1" w:themeShade="BF"/>
          <w:sz w:val="26"/>
          <w:szCs w:val="26"/>
        </w:rPr>
      </w:pPr>
      <w:r w:rsidRPr="00CB394F">
        <w:rPr>
          <w:rFonts w:asciiTheme="minorHAnsi" w:hAnsiTheme="minorHAnsi" w:cstheme="minorHAnsi"/>
        </w:rPr>
        <w:t>Collaborative partnerships (academic)</w:t>
      </w:r>
    </w:p>
    <w:p w14:paraId="658B5FBC" w14:textId="77777777" w:rsidR="0019720B" w:rsidRPr="00CB394F" w:rsidRDefault="0019720B" w:rsidP="0019720B">
      <w:pPr>
        <w:pStyle w:val="BodyText"/>
        <w:numPr>
          <w:ilvl w:val="0"/>
          <w:numId w:val="2"/>
        </w:numPr>
        <w:spacing w:before="56"/>
        <w:rPr>
          <w:rFonts w:asciiTheme="majorHAnsi" w:eastAsiaTheme="majorEastAsia" w:hAnsiTheme="majorHAnsi" w:cstheme="majorBidi"/>
          <w:color w:val="2E74B5" w:themeColor="accent1" w:themeShade="BF"/>
          <w:sz w:val="26"/>
          <w:szCs w:val="26"/>
        </w:rPr>
      </w:pPr>
      <w:r w:rsidRPr="00CB394F">
        <w:rPr>
          <w:rFonts w:asciiTheme="minorHAnsi" w:hAnsiTheme="minorHAnsi" w:cstheme="minorHAnsi"/>
        </w:rPr>
        <w:t xml:space="preserve">Financial Regulations </w:t>
      </w:r>
      <w:r>
        <w:br w:type="page"/>
      </w:r>
    </w:p>
    <w:p w14:paraId="2EE4A9BB" w14:textId="77777777" w:rsidR="0019720B" w:rsidRPr="003407FC" w:rsidRDefault="0019720B" w:rsidP="0019720B">
      <w:pPr>
        <w:pStyle w:val="Heading2"/>
        <w:rPr>
          <w:b/>
        </w:rPr>
      </w:pPr>
      <w:r w:rsidRPr="003407FC">
        <w:rPr>
          <w:b/>
        </w:rPr>
        <w:lastRenderedPageBreak/>
        <w:t>Research and Enterprise - Acceptance of funding for external research and enterprise activities (reputational or ethical): Policy &amp; Due Diligence</w:t>
      </w:r>
    </w:p>
    <w:p w14:paraId="15503D22" w14:textId="77777777" w:rsidR="0019720B" w:rsidRDefault="0019720B" w:rsidP="0019720B">
      <w:pPr>
        <w:pStyle w:val="BodyText"/>
        <w:spacing w:before="268"/>
        <w:ind w:left="100"/>
      </w:pPr>
      <w:r>
        <w:t>The</w:t>
      </w:r>
      <w:r>
        <w:rPr>
          <w:spacing w:val="-1"/>
        </w:rPr>
        <w:t xml:space="preserve"> </w:t>
      </w:r>
      <w:r>
        <w:t>University’s</w:t>
      </w:r>
      <w:r>
        <w:rPr>
          <w:spacing w:val="-3"/>
        </w:rPr>
        <w:t xml:space="preserve"> </w:t>
      </w:r>
      <w:r>
        <w:t>objectives as</w:t>
      </w:r>
      <w:r>
        <w:rPr>
          <w:spacing w:val="-5"/>
        </w:rPr>
        <w:t xml:space="preserve"> </w:t>
      </w:r>
      <w:r>
        <w:t>set</w:t>
      </w:r>
      <w:r>
        <w:rPr>
          <w:spacing w:val="-2"/>
        </w:rPr>
        <w:t xml:space="preserve"> </w:t>
      </w:r>
      <w:r>
        <w:t>out</w:t>
      </w:r>
      <w:r>
        <w:rPr>
          <w:spacing w:val="-1"/>
        </w:rPr>
        <w:t xml:space="preserve"> </w:t>
      </w:r>
      <w:r>
        <w:t>in</w:t>
      </w:r>
      <w:r>
        <w:rPr>
          <w:spacing w:val="-1"/>
        </w:rPr>
        <w:t xml:space="preserve"> </w:t>
      </w:r>
      <w:r>
        <w:t>its</w:t>
      </w:r>
      <w:r>
        <w:rPr>
          <w:spacing w:val="-1"/>
        </w:rPr>
        <w:t xml:space="preserve"> </w:t>
      </w:r>
      <w:r>
        <w:t>Charter</w:t>
      </w:r>
      <w:r>
        <w:rPr>
          <w:spacing w:val="-1"/>
        </w:rPr>
        <w:t xml:space="preserve"> </w:t>
      </w:r>
      <w:r>
        <w:t>are</w:t>
      </w:r>
      <w:r>
        <w:rPr>
          <w:spacing w:val="-3"/>
        </w:rPr>
        <w:t xml:space="preserve"> </w:t>
      </w:r>
      <w:r>
        <w:t>to</w:t>
      </w:r>
      <w:r>
        <w:rPr>
          <w:spacing w:val="-2"/>
        </w:rPr>
        <w:t xml:space="preserve"> </w:t>
      </w:r>
      <w:r>
        <w:t>‘advance</w:t>
      </w:r>
      <w:r>
        <w:rPr>
          <w:spacing w:val="-2"/>
        </w:rPr>
        <w:t xml:space="preserve"> </w:t>
      </w:r>
      <w:r>
        <w:t>knowledge,</w:t>
      </w:r>
      <w:r>
        <w:rPr>
          <w:spacing w:val="-3"/>
        </w:rPr>
        <w:t xml:space="preserve"> </w:t>
      </w:r>
      <w:r>
        <w:t>wisdom</w:t>
      </w:r>
      <w:r>
        <w:rPr>
          <w:spacing w:val="1"/>
        </w:rPr>
        <w:t xml:space="preserve"> </w:t>
      </w:r>
      <w:r>
        <w:t>and understanding by teaching and research and by the example and influence of its corporate life’. The</w:t>
      </w:r>
      <w:r>
        <w:rPr>
          <w:spacing w:val="-47"/>
        </w:rPr>
        <w:t xml:space="preserve"> </w:t>
      </w:r>
      <w:r>
        <w:t>University as an ‘exempt charity’ must observe the requirements of</w:t>
      </w:r>
      <w:r>
        <w:rPr>
          <w:spacing w:val="1"/>
        </w:rPr>
        <w:t xml:space="preserve"> </w:t>
      </w:r>
      <w:r>
        <w:t>charity law and other relevant legislation in relation to the receipt and expenditure of funds. Lancaster</w:t>
      </w:r>
      <w:r>
        <w:rPr>
          <w:spacing w:val="1"/>
        </w:rPr>
        <w:t xml:space="preserve"> </w:t>
      </w:r>
      <w:r>
        <w:t>University is committed to conducting its research and enterprise relationships in an ethical</w:t>
      </w:r>
      <w:r>
        <w:rPr>
          <w:spacing w:val="1"/>
        </w:rPr>
        <w:t xml:space="preserve"> </w:t>
      </w:r>
      <w:r>
        <w:t>manner and in accordance with relevant regulations. This includes ensuring that due diligence is</w:t>
      </w:r>
      <w:r>
        <w:rPr>
          <w:spacing w:val="1"/>
        </w:rPr>
        <w:t xml:space="preserve"> </w:t>
      </w:r>
      <w:r>
        <w:t>observed</w:t>
      </w:r>
      <w:r>
        <w:rPr>
          <w:spacing w:val="-3"/>
        </w:rPr>
        <w:t xml:space="preserve"> </w:t>
      </w:r>
      <w:r>
        <w:t>when assessing</w:t>
      </w:r>
      <w:r>
        <w:rPr>
          <w:spacing w:val="-5"/>
        </w:rPr>
        <w:t xml:space="preserve"> </w:t>
      </w:r>
      <w:proofErr w:type="gramStart"/>
      <w:r>
        <w:t>whether</w:t>
      </w:r>
      <w:r>
        <w:rPr>
          <w:spacing w:val="-2"/>
        </w:rPr>
        <w:t xml:space="preserve"> </w:t>
      </w:r>
      <w:r>
        <w:t>or not</w:t>
      </w:r>
      <w:proofErr w:type="gramEnd"/>
      <w:r>
        <w:rPr>
          <w:spacing w:val="-3"/>
        </w:rPr>
        <w:t xml:space="preserve"> </w:t>
      </w:r>
      <w:r>
        <w:t>to</w:t>
      </w:r>
      <w:r>
        <w:rPr>
          <w:spacing w:val="-2"/>
        </w:rPr>
        <w:t xml:space="preserve"> </w:t>
      </w:r>
      <w:r>
        <w:t>accept</w:t>
      </w:r>
      <w:r>
        <w:rPr>
          <w:spacing w:val="-1"/>
        </w:rPr>
        <w:t xml:space="preserve"> </w:t>
      </w:r>
      <w:r>
        <w:t>external funding or</w:t>
      </w:r>
      <w:r>
        <w:rPr>
          <w:spacing w:val="-3"/>
        </w:rPr>
        <w:t xml:space="preserve"> </w:t>
      </w:r>
      <w:r>
        <w:t>establish</w:t>
      </w:r>
      <w:r>
        <w:rPr>
          <w:spacing w:val="-1"/>
        </w:rPr>
        <w:t xml:space="preserve"> </w:t>
      </w:r>
      <w:r>
        <w:t xml:space="preserve">specific relationships with project partners. </w:t>
      </w:r>
      <w:r w:rsidRPr="00DE0409">
        <w:t>This policy is intended as a guide to staff in their dealings with external fund</w:t>
      </w:r>
      <w:r>
        <w:t>ers</w:t>
      </w:r>
      <w:r w:rsidRPr="00DE0409">
        <w:t xml:space="preserve"> and to protect the interests of all members of the </w:t>
      </w:r>
      <w:r>
        <w:t>University</w:t>
      </w:r>
      <w:r w:rsidRPr="00DE0409">
        <w:t xml:space="preserve"> in accepting </w:t>
      </w:r>
      <w:r>
        <w:t xml:space="preserve">such </w:t>
      </w:r>
      <w:r w:rsidRPr="00DE0409">
        <w:t>funding.</w:t>
      </w:r>
    </w:p>
    <w:p w14:paraId="4245FECB" w14:textId="77777777" w:rsidR="0019720B" w:rsidRDefault="0019720B" w:rsidP="0019720B">
      <w:pPr>
        <w:pStyle w:val="BodyText"/>
        <w:ind w:left="100" w:right="222"/>
        <w:rPr>
          <w:sz w:val="25"/>
        </w:rPr>
      </w:pPr>
    </w:p>
    <w:p w14:paraId="124C897E" w14:textId="77777777" w:rsidR="0019720B" w:rsidRDefault="0019720B" w:rsidP="0019720B">
      <w:pPr>
        <w:pStyle w:val="Heading2"/>
      </w:pPr>
      <w:r>
        <w:t>1. Activities in scope of this policy</w:t>
      </w:r>
    </w:p>
    <w:p w14:paraId="1D434ECA" w14:textId="77777777" w:rsidR="0019720B" w:rsidRDefault="0019720B" w:rsidP="0019720B">
      <w:pPr>
        <w:pStyle w:val="BodyText"/>
        <w:ind w:right="222"/>
      </w:pPr>
      <w:r>
        <w:t xml:space="preserve">1.1 </w:t>
      </w:r>
      <w:r w:rsidRPr="003E3077">
        <w:t xml:space="preserve">Activities </w:t>
      </w:r>
      <w:r>
        <w:t>in scope of this policy include:</w:t>
      </w:r>
    </w:p>
    <w:p w14:paraId="3A324EB6" w14:textId="77777777" w:rsidR="0019720B" w:rsidRPr="000C2689" w:rsidRDefault="0019720B" w:rsidP="0019720B">
      <w:pPr>
        <w:pStyle w:val="BodyText"/>
        <w:numPr>
          <w:ilvl w:val="0"/>
          <w:numId w:val="1"/>
        </w:numPr>
        <w:ind w:right="222"/>
      </w:pPr>
      <w:r w:rsidRPr="000C2689">
        <w:t xml:space="preserve">Research and experimental development (R &amp; D) comprise creative and systematic work undertaken </w:t>
      </w:r>
      <w:proofErr w:type="gramStart"/>
      <w:r w:rsidRPr="000C2689">
        <w:t>in order to</w:t>
      </w:r>
      <w:proofErr w:type="gramEnd"/>
      <w:r w:rsidRPr="000C2689">
        <w:t xml:space="preserve"> increase t</w:t>
      </w:r>
      <w:r w:rsidRPr="003E3077">
        <w:t>h</w:t>
      </w:r>
      <w:r w:rsidRPr="000C2689">
        <w:t>e stock of knowledge – including knowledge of</w:t>
      </w:r>
      <w:r w:rsidRPr="003E3077">
        <w:t xml:space="preserve"> </w:t>
      </w:r>
      <w:r w:rsidRPr="000C2689">
        <w:t xml:space="preserve">humankind, culture and society – and to devise new </w:t>
      </w:r>
      <w:r w:rsidRPr="003E3077">
        <w:t>applications</w:t>
      </w:r>
      <w:r w:rsidRPr="000C2689">
        <w:t xml:space="preserve"> of available knowledge. </w:t>
      </w:r>
      <w:r w:rsidRPr="003E3077">
        <w:t xml:space="preserve">This is the summary definition according to the </w:t>
      </w:r>
      <w:hyperlink r:id="rId7" w:anchor="page1" w:history="1">
        <w:r w:rsidRPr="000C2689">
          <w:rPr>
            <w:rStyle w:val="Hyperlink"/>
          </w:rPr>
          <w:t>Frascati Manual</w:t>
        </w:r>
      </w:hyperlink>
      <w:r w:rsidRPr="000C2689">
        <w:t>, which includes a</w:t>
      </w:r>
      <w:r w:rsidRPr="003E3077">
        <w:t xml:space="preserve"> full </w:t>
      </w:r>
      <w:r w:rsidRPr="000C2689">
        <w:t>definition of research including basic, applied and experimental (section 2.2).</w:t>
      </w:r>
    </w:p>
    <w:p w14:paraId="37025FDA" w14:textId="77777777" w:rsidR="0019720B" w:rsidRPr="003E3077" w:rsidRDefault="0019720B" w:rsidP="0019720B">
      <w:pPr>
        <w:pStyle w:val="BodyText"/>
        <w:numPr>
          <w:ilvl w:val="0"/>
          <w:numId w:val="1"/>
        </w:numPr>
        <w:ind w:right="222"/>
      </w:pPr>
      <w:r w:rsidRPr="000C2689">
        <w:t xml:space="preserve">Enterprise activities include enterprise and innovation projects through engagement with external organisations. </w:t>
      </w:r>
    </w:p>
    <w:p w14:paraId="71240FD3" w14:textId="77777777" w:rsidR="0019720B" w:rsidRPr="00CB394F" w:rsidRDefault="00BF70AD" w:rsidP="0019720B">
      <w:pPr>
        <w:pStyle w:val="BodyText"/>
        <w:numPr>
          <w:ilvl w:val="0"/>
          <w:numId w:val="1"/>
        </w:numPr>
        <w:ind w:right="222"/>
        <w:rPr>
          <w:rStyle w:val="Strong"/>
          <w:rFonts w:asciiTheme="minorHAnsi" w:hAnsiTheme="minorHAnsi" w:cstheme="minorHAnsi"/>
          <w:b w:val="0"/>
        </w:rPr>
      </w:pPr>
      <w:hyperlink r:id="rId8" w:history="1">
        <w:r w:rsidR="0019720B" w:rsidRPr="003E3077">
          <w:rPr>
            <w:rStyle w:val="Hyperlink"/>
            <w:rFonts w:asciiTheme="minorHAnsi" w:hAnsiTheme="minorHAnsi" w:cstheme="minorHAnsi"/>
            <w:b/>
          </w:rPr>
          <w:t>Consultancy</w:t>
        </w:r>
      </w:hyperlink>
      <w:r w:rsidR="0019720B" w:rsidRPr="003E3077">
        <w:rPr>
          <w:rFonts w:asciiTheme="minorHAnsi" w:hAnsiTheme="minorHAnsi" w:cstheme="minorHAnsi"/>
        </w:rPr>
        <w:t xml:space="preserve"> </w:t>
      </w:r>
      <w:r w:rsidR="0019720B" w:rsidRPr="00CB394F">
        <w:rPr>
          <w:rFonts w:asciiTheme="minorHAnsi" w:hAnsiTheme="minorHAnsi" w:cstheme="minorHAnsi"/>
        </w:rPr>
        <w:t>defined as</w:t>
      </w:r>
      <w:r w:rsidR="0019720B" w:rsidRPr="00CB394F">
        <w:rPr>
          <w:rStyle w:val="Strong"/>
          <w:rFonts w:asciiTheme="minorHAnsi" w:hAnsiTheme="minorHAnsi" w:cstheme="minorHAnsi"/>
          <w:color w:val="0A0A0A"/>
          <w:shd w:val="clear" w:color="auto" w:fill="FEFEFE"/>
        </w:rPr>
        <w:t xml:space="preserve"> </w:t>
      </w:r>
      <w:r w:rsidR="0019720B">
        <w:rPr>
          <w:rStyle w:val="Strong"/>
          <w:rFonts w:asciiTheme="minorHAnsi" w:hAnsiTheme="minorHAnsi" w:cstheme="minorHAnsi"/>
          <w:color w:val="0A0A0A"/>
          <w:shd w:val="clear" w:color="auto" w:fill="FEFEFE"/>
        </w:rPr>
        <w:t>‘</w:t>
      </w:r>
      <w:r w:rsidR="0019720B" w:rsidRPr="00CB394F">
        <w:rPr>
          <w:rStyle w:val="Strong"/>
          <w:rFonts w:asciiTheme="minorHAnsi" w:hAnsiTheme="minorHAnsi" w:cstheme="minorHAnsi"/>
          <w:color w:val="0A0A0A"/>
          <w:shd w:val="clear" w:color="auto" w:fill="FEFEFE"/>
        </w:rPr>
        <w:t>the provision of expert advice based on existing knowledge. Unlike research, the purpose of undertaking consultancy is not to create new original knowledge, although new information based on the application of expertise to a client’s challenge or problem may result from the work.</w:t>
      </w:r>
      <w:r w:rsidR="0019720B">
        <w:rPr>
          <w:rStyle w:val="Strong"/>
          <w:rFonts w:asciiTheme="minorHAnsi" w:hAnsiTheme="minorHAnsi" w:cstheme="minorHAnsi"/>
          <w:color w:val="0A0A0A"/>
          <w:shd w:val="clear" w:color="auto" w:fill="FEFEFE"/>
        </w:rPr>
        <w:t>’</w:t>
      </w:r>
    </w:p>
    <w:p w14:paraId="0F80057F" w14:textId="77777777" w:rsidR="0019720B" w:rsidRPr="003E3077" w:rsidRDefault="0019720B" w:rsidP="0019720B">
      <w:pPr>
        <w:pStyle w:val="BodyText"/>
        <w:ind w:left="720" w:right="222"/>
        <w:rPr>
          <w:rFonts w:asciiTheme="minorHAnsi" w:hAnsiTheme="minorHAnsi" w:cstheme="minorHAnsi"/>
        </w:rPr>
      </w:pPr>
    </w:p>
    <w:p w14:paraId="3D5F85B8" w14:textId="77777777" w:rsidR="0019720B" w:rsidRDefault="0019720B" w:rsidP="0019720B">
      <w:pPr>
        <w:pStyle w:val="Heading2"/>
      </w:pPr>
      <w:r>
        <w:t>2. University Policy Statement</w:t>
      </w:r>
    </w:p>
    <w:p w14:paraId="1499C09C" w14:textId="77777777" w:rsidR="0019720B" w:rsidRPr="00DE0409" w:rsidRDefault="0019720B" w:rsidP="0019720B">
      <w:pPr>
        <w:widowControl w:val="0"/>
        <w:tabs>
          <w:tab w:val="left" w:pos="809"/>
        </w:tabs>
        <w:autoSpaceDE w:val="0"/>
        <w:autoSpaceDN w:val="0"/>
        <w:spacing w:before="268"/>
        <w:ind w:right="113"/>
        <w:jc w:val="both"/>
      </w:pPr>
      <w:r>
        <w:t>2.1 Ultimate responsibility regarding the acceptance and refusal of funding rests with the</w:t>
      </w:r>
      <w:r w:rsidRPr="003407FC">
        <w:rPr>
          <w:spacing w:val="1"/>
        </w:rPr>
        <w:t xml:space="preserve"> </w:t>
      </w:r>
      <w:r>
        <w:t>University’s</w:t>
      </w:r>
      <w:r w:rsidRPr="003407FC">
        <w:rPr>
          <w:spacing w:val="1"/>
        </w:rPr>
        <w:t xml:space="preserve"> </w:t>
      </w:r>
      <w:r>
        <w:t>governing</w:t>
      </w:r>
      <w:r w:rsidRPr="003407FC">
        <w:rPr>
          <w:spacing w:val="1"/>
        </w:rPr>
        <w:t xml:space="preserve"> </w:t>
      </w:r>
      <w:r>
        <w:t>body,</w:t>
      </w:r>
      <w:r w:rsidRPr="003407FC">
        <w:rPr>
          <w:spacing w:val="1"/>
        </w:rPr>
        <w:t xml:space="preserve"> </w:t>
      </w:r>
      <w:r>
        <w:t>the</w:t>
      </w:r>
      <w:r w:rsidRPr="003407FC">
        <w:rPr>
          <w:spacing w:val="1"/>
        </w:rPr>
        <w:t xml:space="preserve"> </w:t>
      </w:r>
      <w:r>
        <w:t>Council.</w:t>
      </w:r>
      <w:r w:rsidRPr="003407FC">
        <w:rPr>
          <w:spacing w:val="1"/>
        </w:rPr>
        <w:t xml:space="preserve"> </w:t>
      </w:r>
      <w:r>
        <w:t>In</w:t>
      </w:r>
      <w:r w:rsidRPr="003407FC">
        <w:rPr>
          <w:spacing w:val="1"/>
        </w:rPr>
        <w:t xml:space="preserve"> </w:t>
      </w:r>
      <w:r>
        <w:t>practice,</w:t>
      </w:r>
      <w:r w:rsidRPr="003407FC">
        <w:rPr>
          <w:spacing w:val="1"/>
        </w:rPr>
        <w:t xml:space="preserve"> </w:t>
      </w:r>
      <w:r>
        <w:t>staff</w:t>
      </w:r>
      <w:r w:rsidRPr="003407FC">
        <w:rPr>
          <w:spacing w:val="1"/>
        </w:rPr>
        <w:t xml:space="preserve"> </w:t>
      </w:r>
      <w:r>
        <w:t>carry</w:t>
      </w:r>
      <w:r w:rsidRPr="003407FC">
        <w:rPr>
          <w:spacing w:val="1"/>
        </w:rPr>
        <w:t xml:space="preserve"> </w:t>
      </w:r>
      <w:r>
        <w:t>out</w:t>
      </w:r>
      <w:r w:rsidRPr="003407FC">
        <w:rPr>
          <w:spacing w:val="1"/>
        </w:rPr>
        <w:t xml:space="preserve"> </w:t>
      </w:r>
      <w:r>
        <w:t>the</w:t>
      </w:r>
      <w:r w:rsidRPr="003407FC">
        <w:rPr>
          <w:spacing w:val="1"/>
        </w:rPr>
        <w:t xml:space="preserve"> </w:t>
      </w:r>
      <w:r>
        <w:t>day-to-day</w:t>
      </w:r>
      <w:r w:rsidRPr="003407FC">
        <w:rPr>
          <w:spacing w:val="1"/>
        </w:rPr>
        <w:t xml:space="preserve"> </w:t>
      </w:r>
      <w:r>
        <w:t>responsibilities</w:t>
      </w:r>
      <w:r w:rsidRPr="003407FC">
        <w:rPr>
          <w:spacing w:val="1"/>
        </w:rPr>
        <w:t xml:space="preserve"> </w:t>
      </w:r>
      <w:r>
        <w:t>in</w:t>
      </w:r>
      <w:r w:rsidRPr="003407FC">
        <w:rPr>
          <w:spacing w:val="1"/>
        </w:rPr>
        <w:t xml:space="preserve"> </w:t>
      </w:r>
      <w:r>
        <w:t>this</w:t>
      </w:r>
      <w:r w:rsidRPr="003407FC">
        <w:rPr>
          <w:spacing w:val="1"/>
        </w:rPr>
        <w:t xml:space="preserve"> </w:t>
      </w:r>
      <w:r>
        <w:t>area,</w:t>
      </w:r>
      <w:r w:rsidRPr="003407FC">
        <w:rPr>
          <w:spacing w:val="1"/>
        </w:rPr>
        <w:t xml:space="preserve"> </w:t>
      </w:r>
      <w:r>
        <w:t>in</w:t>
      </w:r>
      <w:r w:rsidRPr="003407FC">
        <w:rPr>
          <w:spacing w:val="1"/>
        </w:rPr>
        <w:t xml:space="preserve"> </w:t>
      </w:r>
      <w:r>
        <w:t>line</w:t>
      </w:r>
      <w:r w:rsidRPr="003407FC">
        <w:rPr>
          <w:spacing w:val="1"/>
        </w:rPr>
        <w:t xml:space="preserve"> </w:t>
      </w:r>
      <w:r>
        <w:t>with</w:t>
      </w:r>
      <w:r w:rsidRPr="003407FC">
        <w:rPr>
          <w:spacing w:val="1"/>
        </w:rPr>
        <w:t xml:space="preserve"> </w:t>
      </w:r>
      <w:r>
        <w:t>delegated</w:t>
      </w:r>
      <w:r w:rsidRPr="003407FC">
        <w:rPr>
          <w:spacing w:val="1"/>
        </w:rPr>
        <w:t xml:space="preserve"> </w:t>
      </w:r>
      <w:r>
        <w:t>authority</w:t>
      </w:r>
      <w:r w:rsidRPr="003407FC">
        <w:rPr>
          <w:spacing w:val="1"/>
        </w:rPr>
        <w:t xml:space="preserve"> </w:t>
      </w:r>
      <w:r>
        <w:t>from</w:t>
      </w:r>
      <w:r w:rsidRPr="003407FC">
        <w:rPr>
          <w:spacing w:val="1"/>
        </w:rPr>
        <w:t xml:space="preserve"> </w:t>
      </w:r>
      <w:r>
        <w:t>the</w:t>
      </w:r>
      <w:r w:rsidRPr="003407FC">
        <w:rPr>
          <w:spacing w:val="1"/>
        </w:rPr>
        <w:t xml:space="preserve"> </w:t>
      </w:r>
      <w:r>
        <w:t>Council.</w:t>
      </w:r>
      <w:r w:rsidRPr="003407FC">
        <w:rPr>
          <w:spacing w:val="1"/>
        </w:rPr>
        <w:t xml:space="preserve"> </w:t>
      </w:r>
    </w:p>
    <w:p w14:paraId="697ECF33" w14:textId="77777777" w:rsidR="0019720B" w:rsidRDefault="0019720B" w:rsidP="0019720B">
      <w:pPr>
        <w:widowControl w:val="0"/>
        <w:tabs>
          <w:tab w:val="left" w:pos="809"/>
        </w:tabs>
        <w:autoSpaceDE w:val="0"/>
        <w:autoSpaceDN w:val="0"/>
        <w:spacing w:before="268"/>
        <w:ind w:right="113"/>
        <w:jc w:val="both"/>
        <w:rPr>
          <w:spacing w:val="1"/>
        </w:rPr>
      </w:pPr>
      <w:r>
        <w:rPr>
          <w:spacing w:val="1"/>
        </w:rPr>
        <w:t xml:space="preserve">2.2 </w:t>
      </w:r>
      <w:r w:rsidRPr="003407FC">
        <w:rPr>
          <w:spacing w:val="1"/>
        </w:rPr>
        <w:t xml:space="preserve">In considering whether or not external funding should be accepted the following issues shall be considered by principal investigators and professional services staff in Research and Enterprise Services in liaison with Heads of Department, Directors of Research </w:t>
      </w:r>
      <w:proofErr w:type="gramStart"/>
      <w:r w:rsidRPr="003407FC">
        <w:rPr>
          <w:spacing w:val="1"/>
        </w:rPr>
        <w:t>Institutes  and</w:t>
      </w:r>
      <w:proofErr w:type="gramEnd"/>
      <w:r w:rsidRPr="003407FC">
        <w:rPr>
          <w:spacing w:val="1"/>
        </w:rPr>
        <w:t xml:space="preserve"> Deans as necessary:</w:t>
      </w:r>
    </w:p>
    <w:p w14:paraId="40DFD003" w14:textId="77777777" w:rsidR="0019720B" w:rsidRDefault="0019720B" w:rsidP="0019720B">
      <w:pPr>
        <w:widowControl w:val="0"/>
        <w:tabs>
          <w:tab w:val="left" w:pos="809"/>
        </w:tabs>
        <w:autoSpaceDE w:val="0"/>
        <w:autoSpaceDN w:val="0"/>
        <w:spacing w:before="268"/>
        <w:ind w:right="113"/>
        <w:jc w:val="both"/>
      </w:pPr>
      <w:r>
        <w:t>2.3 If the association with the funder or its subsidiaries or associates is likely to bring the University name into disrepute.</w:t>
      </w:r>
    </w:p>
    <w:p w14:paraId="653BDFED" w14:textId="77777777" w:rsidR="0019720B" w:rsidRDefault="0019720B" w:rsidP="0019720B">
      <w:pPr>
        <w:widowControl w:val="0"/>
        <w:tabs>
          <w:tab w:val="left" w:pos="809"/>
        </w:tabs>
        <w:autoSpaceDE w:val="0"/>
        <w:autoSpaceDN w:val="0"/>
        <w:spacing w:before="268"/>
        <w:ind w:right="116"/>
        <w:jc w:val="both"/>
      </w:pPr>
      <w:r>
        <w:t>2.4 If there is a possibility that the funder (or associated individuals) might be on official sanction lists, associated with illegal activities under the Proceeds of Crime Act, the Bribery Act or anti-terror financing legislation, whether in the UK or under</w:t>
      </w:r>
      <w:r w:rsidRPr="003407FC">
        <w:rPr>
          <w:spacing w:val="1"/>
        </w:rPr>
        <w:t xml:space="preserve"> </w:t>
      </w:r>
      <w:r>
        <w:t>the jurisdiction of the funder’s country.</w:t>
      </w:r>
    </w:p>
    <w:p w14:paraId="450A62F6" w14:textId="77777777" w:rsidR="0019720B" w:rsidRDefault="0019720B" w:rsidP="0019720B">
      <w:pPr>
        <w:widowControl w:val="0"/>
        <w:tabs>
          <w:tab w:val="left" w:pos="809"/>
        </w:tabs>
        <w:autoSpaceDE w:val="0"/>
        <w:autoSpaceDN w:val="0"/>
        <w:spacing w:before="268"/>
        <w:ind w:right="116"/>
        <w:jc w:val="both"/>
      </w:pPr>
      <w:r>
        <w:t>2.5 If the association with the funder is likely to unduly damage any existing University relationships or deter others from supporting or working with the University in the future.</w:t>
      </w:r>
    </w:p>
    <w:p w14:paraId="3A83455E" w14:textId="77777777" w:rsidR="0019720B" w:rsidRDefault="0019720B" w:rsidP="0019720B">
      <w:pPr>
        <w:widowControl w:val="0"/>
        <w:tabs>
          <w:tab w:val="left" w:pos="809"/>
        </w:tabs>
        <w:autoSpaceDE w:val="0"/>
        <w:autoSpaceDN w:val="0"/>
        <w:spacing w:before="268"/>
        <w:ind w:right="116"/>
        <w:jc w:val="both"/>
      </w:pPr>
      <w:r>
        <w:t>2.6 If the likely motives of the funder are in accord with the University’s values and our mission to be a globally significant university that takes seriously its economic and social responsibilities.</w:t>
      </w:r>
    </w:p>
    <w:p w14:paraId="5909045C" w14:textId="77777777" w:rsidR="0019720B" w:rsidRDefault="0019720B" w:rsidP="0019720B">
      <w:pPr>
        <w:widowControl w:val="0"/>
        <w:tabs>
          <w:tab w:val="left" w:pos="809"/>
        </w:tabs>
        <w:autoSpaceDE w:val="0"/>
        <w:autoSpaceDN w:val="0"/>
        <w:spacing w:before="268"/>
        <w:ind w:right="116"/>
        <w:jc w:val="both"/>
      </w:pPr>
      <w:r>
        <w:lastRenderedPageBreak/>
        <w:t>2.7 If there are any restrictions on the dissemination and exploitation of the results of the funded activity or any other onerous conditions and if the purpose of such restrictions will likely lead to any ethical issues and challenges.</w:t>
      </w:r>
    </w:p>
    <w:p w14:paraId="49F915C3" w14:textId="77777777" w:rsidR="0019720B" w:rsidRDefault="0019720B" w:rsidP="0019720B">
      <w:pPr>
        <w:widowControl w:val="0"/>
        <w:tabs>
          <w:tab w:val="left" w:pos="809"/>
        </w:tabs>
        <w:autoSpaceDE w:val="0"/>
        <w:autoSpaceDN w:val="0"/>
        <w:spacing w:before="268"/>
        <w:ind w:right="116"/>
        <w:jc w:val="both"/>
        <w:rPr>
          <w:spacing w:val="1"/>
        </w:rPr>
      </w:pPr>
      <w:r>
        <w:rPr>
          <w:spacing w:val="1"/>
        </w:rPr>
        <w:t xml:space="preserve">2.8 </w:t>
      </w:r>
      <w:r w:rsidRPr="003407FC">
        <w:rPr>
          <w:spacing w:val="1"/>
        </w:rPr>
        <w:t xml:space="preserve">The above-mentioned issues will be included in the University’s risk assessment for research funding applications through the ACP governance checklist or through enterprise and consultancy approval processes. </w:t>
      </w:r>
    </w:p>
    <w:p w14:paraId="73C4B998" w14:textId="77777777" w:rsidR="0019720B" w:rsidRDefault="0019720B" w:rsidP="0019720B">
      <w:pPr>
        <w:widowControl w:val="0"/>
        <w:tabs>
          <w:tab w:val="left" w:pos="809"/>
          <w:tab w:val="left" w:pos="1234"/>
        </w:tabs>
        <w:autoSpaceDE w:val="0"/>
        <w:autoSpaceDN w:val="0"/>
        <w:spacing w:before="2"/>
        <w:ind w:right="113"/>
        <w:jc w:val="both"/>
      </w:pPr>
    </w:p>
    <w:p w14:paraId="5D1101AA" w14:textId="77777777" w:rsidR="0019720B" w:rsidRDefault="0019720B" w:rsidP="0019720B">
      <w:pPr>
        <w:widowControl w:val="0"/>
        <w:tabs>
          <w:tab w:val="left" w:pos="809"/>
          <w:tab w:val="left" w:pos="1234"/>
        </w:tabs>
        <w:autoSpaceDE w:val="0"/>
        <w:autoSpaceDN w:val="0"/>
        <w:spacing w:before="2"/>
        <w:ind w:right="113"/>
        <w:jc w:val="both"/>
      </w:pPr>
      <w:r>
        <w:t>2.9 Where concerns are raised</w:t>
      </w:r>
      <w:r w:rsidRPr="00740389">
        <w:t xml:space="preserve"> </w:t>
      </w:r>
      <w:r>
        <w:t xml:space="preserve">appropriate due diligence will be conducted. This will include consultation with the relevant head of department/faculty </w:t>
      </w:r>
      <w:proofErr w:type="gramStart"/>
      <w:r>
        <w:t>dean, before</w:t>
      </w:r>
      <w:proofErr w:type="gramEnd"/>
      <w:r>
        <w:t xml:space="preserve"> cases are referred to the University Research and Enterprise Due Diligence Panel (REDD Panel). The Panel will follow the REDD process [link to document] and will consider on the balance of probabilities, that</w:t>
      </w:r>
      <w:r w:rsidRPr="003407FC">
        <w:rPr>
          <w:spacing w:val="1"/>
        </w:rPr>
        <w:t xml:space="preserve"> </w:t>
      </w:r>
      <w:r>
        <w:t xml:space="preserve">external funding to the University to support research and enterprise activities will have no negative impacts either financially, </w:t>
      </w:r>
      <w:proofErr w:type="gramStart"/>
      <w:r>
        <w:t>operationally</w:t>
      </w:r>
      <w:proofErr w:type="gramEnd"/>
      <w:r>
        <w:t xml:space="preserve"> or reputationally. Where impacts are considered higher </w:t>
      </w:r>
      <w:proofErr w:type="gramStart"/>
      <w:r>
        <w:t>risk</w:t>
      </w:r>
      <w:proofErr w:type="gramEnd"/>
      <w:r>
        <w:t xml:space="preserve"> these decisions will be escalated through the due diligence panel process. </w:t>
      </w:r>
    </w:p>
    <w:p w14:paraId="7079C3ED" w14:textId="77777777" w:rsidR="0019720B" w:rsidRDefault="0019720B" w:rsidP="0019720B">
      <w:pPr>
        <w:widowControl w:val="0"/>
        <w:tabs>
          <w:tab w:val="left" w:pos="809"/>
          <w:tab w:val="left" w:pos="1234"/>
        </w:tabs>
        <w:autoSpaceDE w:val="0"/>
        <w:autoSpaceDN w:val="0"/>
        <w:spacing w:before="2"/>
        <w:ind w:right="113"/>
        <w:jc w:val="both"/>
      </w:pPr>
    </w:p>
    <w:p w14:paraId="0A5E4DE4" w14:textId="77777777" w:rsidR="0019720B" w:rsidRPr="003E3077" w:rsidRDefault="0019720B" w:rsidP="0019720B">
      <w:pPr>
        <w:widowControl w:val="0"/>
        <w:tabs>
          <w:tab w:val="left" w:pos="809"/>
          <w:tab w:val="left" w:pos="1234"/>
        </w:tabs>
        <w:autoSpaceDE w:val="0"/>
        <w:autoSpaceDN w:val="0"/>
        <w:spacing w:before="2"/>
        <w:ind w:right="113"/>
        <w:jc w:val="both"/>
      </w:pPr>
      <w:r>
        <w:t xml:space="preserve">2.10 Other University related policies include the policy on ethical giving; procurement and supplier relationships; research ethics policy and the collaborative partnerships (academic). These are set out in </w:t>
      </w:r>
      <w:r w:rsidRPr="001C2C3F">
        <w:t xml:space="preserve">the </w:t>
      </w:r>
      <w:r w:rsidRPr="003E3077">
        <w:t xml:space="preserve">Research Integrity and Ethics: </w:t>
      </w:r>
      <w:hyperlink r:id="rId9" w:history="1">
        <w:r w:rsidRPr="007804A6">
          <w:rPr>
            <w:rStyle w:val="Hyperlink"/>
          </w:rPr>
          <w:t>Guide to related policies and procedures</w:t>
        </w:r>
      </w:hyperlink>
      <w:r>
        <w:t xml:space="preserve"> </w:t>
      </w:r>
      <w:r w:rsidRPr="003E3077">
        <w:t>.</w:t>
      </w:r>
    </w:p>
    <w:p w14:paraId="5EDEE1CB" w14:textId="77777777" w:rsidR="00F82ADD" w:rsidRDefault="00F82ADD"/>
    <w:sectPr w:rsidR="00F82ADD" w:rsidSect="000C5AE1">
      <w:pgSz w:w="11906" w:h="16838"/>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B0A73"/>
    <w:multiLevelType w:val="hybridMultilevel"/>
    <w:tmpl w:val="FF38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6A3B8F"/>
    <w:multiLevelType w:val="hybridMultilevel"/>
    <w:tmpl w:val="322AF746"/>
    <w:lvl w:ilvl="0" w:tplc="0D665390">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4098075">
    <w:abstractNumId w:val="1"/>
  </w:num>
  <w:num w:numId="2" w16cid:durableId="1930232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20B"/>
    <w:rsid w:val="00070498"/>
    <w:rsid w:val="000C5AE1"/>
    <w:rsid w:val="001163B6"/>
    <w:rsid w:val="0019720B"/>
    <w:rsid w:val="00BF70AD"/>
    <w:rsid w:val="00F82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17CF"/>
  <w15:chartTrackingRefBased/>
  <w15:docId w15:val="{FA3CE048-C940-4C82-AEDD-8E3FD68D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20B"/>
    <w:pPr>
      <w:spacing w:after="0" w:line="240" w:lineRule="auto"/>
    </w:pPr>
    <w:rPr>
      <w:rFonts w:ascii="Calibri" w:hAnsi="Calibri" w:cs="Calibri"/>
    </w:rPr>
  </w:style>
  <w:style w:type="paragraph" w:styleId="Heading1">
    <w:name w:val="heading 1"/>
    <w:basedOn w:val="Normal"/>
    <w:next w:val="Normal"/>
    <w:link w:val="Heading1Char"/>
    <w:uiPriority w:val="9"/>
    <w:qFormat/>
    <w:rsid w:val="00070498"/>
    <w:pPr>
      <w:keepNext/>
      <w:keepLines/>
      <w:spacing w:before="240"/>
      <w:outlineLvl w:val="0"/>
    </w:pPr>
    <w:rPr>
      <w:rFonts w:ascii="Arial" w:eastAsiaTheme="majorEastAsia" w:hAnsi="Arial" w:cstheme="majorBidi"/>
      <w:b/>
      <w:color w:val="2E74B5" w:themeColor="accent1" w:themeShade="BF"/>
      <w:sz w:val="24"/>
      <w:szCs w:val="32"/>
    </w:rPr>
  </w:style>
  <w:style w:type="paragraph" w:styleId="Heading2">
    <w:name w:val="heading 2"/>
    <w:basedOn w:val="Normal"/>
    <w:next w:val="Normal"/>
    <w:link w:val="Heading2Char"/>
    <w:uiPriority w:val="9"/>
    <w:unhideWhenUsed/>
    <w:qFormat/>
    <w:rsid w:val="0019720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498"/>
    <w:rPr>
      <w:rFonts w:ascii="Arial" w:eastAsiaTheme="majorEastAsia" w:hAnsi="Arial" w:cstheme="majorBidi"/>
      <w:b/>
      <w:color w:val="2E74B5" w:themeColor="accent1" w:themeShade="BF"/>
      <w:sz w:val="24"/>
      <w:szCs w:val="32"/>
    </w:rPr>
  </w:style>
  <w:style w:type="character" w:customStyle="1" w:styleId="Heading2Char">
    <w:name w:val="Heading 2 Char"/>
    <w:basedOn w:val="DefaultParagraphFont"/>
    <w:link w:val="Heading2"/>
    <w:uiPriority w:val="9"/>
    <w:rsid w:val="0019720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9720B"/>
    <w:rPr>
      <w:color w:val="0563C1"/>
      <w:u w:val="single"/>
    </w:rPr>
  </w:style>
  <w:style w:type="paragraph" w:styleId="BodyText">
    <w:name w:val="Body Text"/>
    <w:basedOn w:val="Normal"/>
    <w:link w:val="BodyTextChar"/>
    <w:uiPriority w:val="1"/>
    <w:qFormat/>
    <w:rsid w:val="0019720B"/>
    <w:pPr>
      <w:widowControl w:val="0"/>
      <w:autoSpaceDE w:val="0"/>
      <w:autoSpaceDN w:val="0"/>
    </w:pPr>
    <w:rPr>
      <w:rFonts w:eastAsia="Calibri"/>
    </w:rPr>
  </w:style>
  <w:style w:type="character" w:customStyle="1" w:styleId="BodyTextChar">
    <w:name w:val="Body Text Char"/>
    <w:basedOn w:val="DefaultParagraphFont"/>
    <w:link w:val="BodyText"/>
    <w:uiPriority w:val="1"/>
    <w:rsid w:val="0019720B"/>
    <w:rPr>
      <w:rFonts w:ascii="Calibri" w:eastAsia="Calibri" w:hAnsi="Calibri" w:cs="Calibri"/>
    </w:rPr>
  </w:style>
  <w:style w:type="paragraph" w:customStyle="1" w:styleId="TableParagraph">
    <w:name w:val="Table Paragraph"/>
    <w:basedOn w:val="Normal"/>
    <w:uiPriority w:val="1"/>
    <w:qFormat/>
    <w:rsid w:val="0019720B"/>
    <w:pPr>
      <w:widowControl w:val="0"/>
      <w:autoSpaceDE w:val="0"/>
      <w:autoSpaceDN w:val="0"/>
      <w:spacing w:line="268" w:lineRule="exact"/>
      <w:ind w:left="107"/>
    </w:pPr>
    <w:rPr>
      <w:rFonts w:eastAsia="Calibri"/>
    </w:rPr>
  </w:style>
  <w:style w:type="character" w:styleId="Strong">
    <w:name w:val="Strong"/>
    <w:basedOn w:val="DefaultParagraphFont"/>
    <w:uiPriority w:val="22"/>
    <w:qFormat/>
    <w:rsid w:val="001972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ter.ac.uk/research/research-enterprise-services/consultancy/" TargetMode="External"/><Relationship Id="rId3" Type="http://schemas.openxmlformats.org/officeDocument/2006/relationships/settings" Target="settings.xml"/><Relationship Id="rId7" Type="http://schemas.openxmlformats.org/officeDocument/2006/relationships/hyperlink" Target="https://read.oecd-ilibrary.org/science-and-technology/frascati-manual-2015_9789264239012-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ad.oecd-ilibrary.org/science-and-technology/frascati-manual-2015_9789264239012-en" TargetMode="External"/><Relationship Id="rId11" Type="http://schemas.openxmlformats.org/officeDocument/2006/relationships/theme" Target="theme/theme1.xml"/><Relationship Id="rId5" Type="http://schemas.openxmlformats.org/officeDocument/2006/relationships/hyperlink" Target="https://www.lancaster.ac.uk/media/lancaster-university/content-assets/documents/res/research-governance--ethics/LU_Ethics_integrity_complianceprocesses_061222.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ncaster.ac.uk/media/lancaster-university/content-assets/documents/res/research-governance--ethics/LU_Ethics_integrity_complianceprocesses_0612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Yvonne</dc:creator>
  <cp:keywords/>
  <dc:description/>
  <cp:lastModifiedBy>Fox, Yvonne</cp:lastModifiedBy>
  <cp:revision>3</cp:revision>
  <dcterms:created xsi:type="dcterms:W3CDTF">2022-12-16T11:56:00Z</dcterms:created>
  <dcterms:modified xsi:type="dcterms:W3CDTF">2023-02-27T15:56:00Z</dcterms:modified>
</cp:coreProperties>
</file>